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515792926" w:displacedByCustomXml="next"/>
    <w:bookmarkStart w:id="2" w:name="_Toc515793165" w:displacedByCustomXml="next"/>
    <w:bookmarkStart w:id="3" w:name="_Toc518135481" w:displacedByCustomXml="next"/>
    <w:bookmarkStart w:id="4" w:name="_Toc516047979" w:displacedByCustomXml="next"/>
    <w:sdt>
      <w:sdtPr>
        <w:id w:val="-707562961"/>
        <w:docPartObj>
          <w:docPartGallery w:val="Cover Pages"/>
          <w:docPartUnique/>
        </w:docPartObj>
      </w:sdtPr>
      <w:sdtEndPr>
        <w:rPr>
          <w:rFonts w:ascii="Times New Roman" w:hAnsi="Times New Roman"/>
          <w:caps/>
          <w:color w:val="5B9BD5" w:themeColor="accent1"/>
          <w:spacing w:val="14"/>
          <w:sz w:val="24"/>
          <w:szCs w:val="24"/>
        </w:rPr>
      </w:sdtEndPr>
      <w:sdtContent>
        <w:p w14:paraId="5AEE7747" w14:textId="0068ADAB" w:rsidR="00EB516D" w:rsidRDefault="00EB516D">
          <w:r>
            <w:rPr>
              <w:rFonts w:ascii="Times New Roman" w:hAnsi="Times New Roman"/>
              <w:caps/>
              <w:noProof/>
              <w:color w:val="5B9BD5" w:themeColor="accent1"/>
              <w:spacing w:val="14"/>
              <w:sz w:val="24"/>
              <w:szCs w:val="24"/>
              <w:lang w:eastAsia="fr-FR"/>
            </w:rPr>
            <w:drawing>
              <wp:anchor distT="0" distB="0" distL="114300" distR="114300" simplePos="0" relativeHeight="251658240" behindDoc="0" locked="0" layoutInCell="1" allowOverlap="1" wp14:anchorId="219E0802" wp14:editId="6614FCF8">
                <wp:simplePos x="0" y="0"/>
                <wp:positionH relativeFrom="column">
                  <wp:posOffset>-762635</wp:posOffset>
                </wp:positionH>
                <wp:positionV relativeFrom="paragraph">
                  <wp:posOffset>-572135</wp:posOffset>
                </wp:positionV>
                <wp:extent cx="7284720" cy="9677400"/>
                <wp:effectExtent l="0" t="0" r="0" b="0"/>
                <wp:wrapThrough wrapText="bothSides">
                  <wp:wrapPolygon edited="0">
                    <wp:start x="0" y="0"/>
                    <wp:lineTo x="0" y="21557"/>
                    <wp:lineTo x="21521" y="21557"/>
                    <wp:lineTo x="21521"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e de garde contextuel au 01 07 2018.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4720" cy="9677400"/>
                        </a:xfrm>
                        <a:prstGeom prst="rect">
                          <a:avLst/>
                        </a:prstGeom>
                      </pic:spPr>
                    </pic:pic>
                  </a:graphicData>
                </a:graphic>
                <wp14:sizeRelH relativeFrom="margin">
                  <wp14:pctWidth>0</wp14:pctWidth>
                </wp14:sizeRelH>
                <wp14:sizeRelV relativeFrom="margin">
                  <wp14:pctHeight>0</wp14:pctHeight>
                </wp14:sizeRelV>
              </wp:anchor>
            </w:drawing>
          </w:r>
        </w:p>
        <w:p w14:paraId="411EF01E" w14:textId="4E399208" w:rsidR="00EB516D" w:rsidRDefault="00A81FC8">
          <w:pPr>
            <w:rPr>
              <w:rFonts w:ascii="Times New Roman" w:eastAsiaTheme="majorEastAsia" w:hAnsi="Times New Roman"/>
              <w:caps/>
              <w:color w:val="5B9BD5" w:themeColor="accent1"/>
              <w:spacing w:val="14"/>
              <w:sz w:val="24"/>
              <w:szCs w:val="24"/>
            </w:rPr>
          </w:pPr>
        </w:p>
      </w:sdtContent>
    </w:sdt>
    <w:sdt>
      <w:sdtPr>
        <w:rPr>
          <w:rFonts w:ascii="Calibri" w:eastAsia="Calibri" w:hAnsi="Calibri" w:cs="Times New Roman"/>
          <w:color w:val="auto"/>
          <w:sz w:val="22"/>
          <w:szCs w:val="22"/>
          <w:lang w:eastAsia="en-US"/>
        </w:rPr>
        <w:id w:val="520672491"/>
        <w:docPartObj>
          <w:docPartGallery w:val="Table of Contents"/>
          <w:docPartUnique/>
        </w:docPartObj>
      </w:sdtPr>
      <w:sdtEndPr>
        <w:rPr>
          <w:b/>
          <w:bCs/>
        </w:rPr>
      </w:sdtEndPr>
      <w:sdtContent>
        <w:p w14:paraId="6BF7BC0B" w14:textId="2D82D726" w:rsidR="007C4ABA" w:rsidRDefault="007C4ABA">
          <w:pPr>
            <w:pStyle w:val="En-ttedetabledesmatires"/>
          </w:pPr>
          <w:r>
            <w:t>Table des matières</w:t>
          </w:r>
        </w:p>
        <w:p w14:paraId="0921B6ED" w14:textId="77777777" w:rsidR="00553B37" w:rsidRPr="00553B37" w:rsidRDefault="007C4ABA">
          <w:pPr>
            <w:pStyle w:val="TM1"/>
            <w:rPr>
              <w:rFonts w:ascii="Times New Roman" w:eastAsiaTheme="minorEastAsia" w:hAnsi="Times New Roman" w:cs="Times New Roman"/>
              <w:noProof/>
              <w:sz w:val="20"/>
              <w:lang w:eastAsia="fr-FR"/>
            </w:rPr>
          </w:pPr>
          <w:r w:rsidRPr="00553B37">
            <w:rPr>
              <w:rFonts w:ascii="Times New Roman" w:hAnsi="Times New Roman" w:cs="Times New Roman"/>
              <w:sz w:val="20"/>
            </w:rPr>
            <w:fldChar w:fldCharType="begin"/>
          </w:r>
          <w:r w:rsidRPr="00553B37">
            <w:rPr>
              <w:rFonts w:ascii="Times New Roman" w:hAnsi="Times New Roman" w:cs="Times New Roman"/>
              <w:sz w:val="20"/>
            </w:rPr>
            <w:instrText xml:space="preserve"> TOC \o "1-3" \h \z \u </w:instrText>
          </w:r>
          <w:r w:rsidRPr="00553B37">
            <w:rPr>
              <w:rFonts w:ascii="Times New Roman" w:hAnsi="Times New Roman" w:cs="Times New Roman"/>
              <w:sz w:val="20"/>
            </w:rPr>
            <w:fldChar w:fldCharType="separate"/>
          </w:r>
          <w:hyperlink w:anchor="_Toc518468043" w:history="1">
            <w:r w:rsidR="00553B37" w:rsidRPr="00553B37">
              <w:rPr>
                <w:rStyle w:val="Lienhypertexte"/>
                <w:rFonts w:ascii="Times New Roman" w:hAnsi="Times New Roman"/>
                <w:noProof/>
                <w:sz w:val="20"/>
              </w:rPr>
              <w:t>Résumé exécutif</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_Toc518468043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5</w:t>
            </w:r>
            <w:r w:rsidR="00553B37" w:rsidRPr="00553B37">
              <w:rPr>
                <w:rFonts w:ascii="Times New Roman" w:hAnsi="Times New Roman" w:cs="Times New Roman"/>
                <w:noProof/>
                <w:webHidden/>
                <w:sz w:val="20"/>
              </w:rPr>
              <w:fldChar w:fldCharType="end"/>
            </w:r>
          </w:hyperlink>
        </w:p>
        <w:p w14:paraId="6D734E01" w14:textId="4B40B343" w:rsidR="00553B37" w:rsidRPr="00553B37" w:rsidRDefault="00A81FC8">
          <w:pPr>
            <w:pStyle w:val="TM1"/>
            <w:rPr>
              <w:rFonts w:ascii="Times New Roman" w:eastAsiaTheme="minorEastAsia" w:hAnsi="Times New Roman" w:cs="Times New Roman"/>
              <w:noProof/>
              <w:sz w:val="20"/>
              <w:lang w:eastAsia="fr-FR"/>
            </w:rPr>
          </w:pPr>
          <w:hyperlink w:anchor="_Toc518468044" w:history="1">
            <w:r w:rsidR="00553B37" w:rsidRPr="00553B37">
              <w:rPr>
                <w:rStyle w:val="Lienhypertexte"/>
                <w:rFonts w:ascii="Times New Roman" w:hAnsi="Times New Roman"/>
                <w:noProof/>
                <w:sz w:val="20"/>
              </w:rPr>
              <w:t>Introduction</w:t>
            </w:r>
            <w:r w:rsidR="00553B37">
              <w:rPr>
                <w:rStyle w:val="Lienhypertexte"/>
                <w:rFonts w:ascii="Times New Roman" w:hAnsi="Times New Roman"/>
                <w:noProof/>
                <w:sz w:val="20"/>
              </w:rPr>
              <w:t>………………</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_Toc518468044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7</w:t>
            </w:r>
            <w:r w:rsidR="00553B37" w:rsidRPr="00553B37">
              <w:rPr>
                <w:rFonts w:ascii="Times New Roman" w:hAnsi="Times New Roman" w:cs="Times New Roman"/>
                <w:noProof/>
                <w:webHidden/>
                <w:sz w:val="20"/>
              </w:rPr>
              <w:fldChar w:fldCharType="end"/>
            </w:r>
          </w:hyperlink>
        </w:p>
        <w:p w14:paraId="7B846722" w14:textId="77777777" w:rsidR="00553B37" w:rsidRPr="00553B37" w:rsidRDefault="00A81FC8" w:rsidP="00553B37">
          <w:pPr>
            <w:pStyle w:val="TM2"/>
            <w:rPr>
              <w:rFonts w:eastAsiaTheme="minorEastAsia"/>
              <w:noProof/>
              <w:lang w:eastAsia="fr-FR"/>
            </w:rPr>
          </w:pPr>
          <w:hyperlink w:anchor="_Toc518468045" w:history="1">
            <w:r w:rsidR="00553B37" w:rsidRPr="00553B37">
              <w:rPr>
                <w:rStyle w:val="Lienhypertexte"/>
                <w:rFonts w:ascii="Times New Roman" w:hAnsi="Times New Roman"/>
                <w:noProof/>
                <w:sz w:val="20"/>
              </w:rPr>
              <w:t>1.</w:t>
            </w:r>
            <w:r w:rsidR="00553B37" w:rsidRPr="00553B37">
              <w:rPr>
                <w:rFonts w:eastAsiaTheme="minorEastAsia"/>
                <w:noProof/>
                <w:lang w:eastAsia="fr-FR"/>
              </w:rPr>
              <w:tab/>
            </w:r>
            <w:r w:rsidR="00553B37" w:rsidRPr="00553B37">
              <w:rPr>
                <w:rStyle w:val="Lienhypertexte"/>
                <w:rFonts w:ascii="Times New Roman" w:hAnsi="Times New Roman"/>
                <w:noProof/>
                <w:sz w:val="20"/>
              </w:rPr>
              <w:t>Contexte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_Toc518468045 \h </w:instrText>
            </w:r>
            <w:r w:rsidR="00553B37" w:rsidRPr="00553B37">
              <w:rPr>
                <w:noProof/>
                <w:webHidden/>
              </w:rPr>
            </w:r>
            <w:r w:rsidR="00553B37" w:rsidRPr="00553B37">
              <w:rPr>
                <w:noProof/>
                <w:webHidden/>
              </w:rPr>
              <w:fldChar w:fldCharType="separate"/>
            </w:r>
            <w:r w:rsidR="00553B37" w:rsidRPr="00553B37">
              <w:rPr>
                <w:noProof/>
                <w:webHidden/>
              </w:rPr>
              <w:t>7</w:t>
            </w:r>
            <w:r w:rsidR="00553B37" w:rsidRPr="00553B37">
              <w:rPr>
                <w:noProof/>
                <w:webHidden/>
              </w:rPr>
              <w:fldChar w:fldCharType="end"/>
            </w:r>
          </w:hyperlink>
        </w:p>
        <w:p w14:paraId="21757D69" w14:textId="77777777" w:rsidR="00553B37" w:rsidRPr="00553B37" w:rsidRDefault="00A81FC8" w:rsidP="00553B37">
          <w:pPr>
            <w:pStyle w:val="TM2"/>
            <w:rPr>
              <w:rFonts w:eastAsiaTheme="minorEastAsia"/>
              <w:noProof/>
              <w:lang w:eastAsia="fr-FR"/>
            </w:rPr>
          </w:pPr>
          <w:hyperlink w:anchor="_Toc518468046" w:history="1">
            <w:r w:rsidR="00553B37" w:rsidRPr="00553B37">
              <w:rPr>
                <w:rStyle w:val="Lienhypertexte"/>
                <w:rFonts w:ascii="Times New Roman" w:hAnsi="Times New Roman"/>
                <w:noProof/>
                <w:sz w:val="20"/>
              </w:rPr>
              <w:t>2.</w:t>
            </w:r>
            <w:r w:rsidR="00553B37" w:rsidRPr="00553B37">
              <w:rPr>
                <w:rFonts w:eastAsiaTheme="minorEastAsia"/>
                <w:noProof/>
                <w:lang w:eastAsia="fr-FR"/>
              </w:rPr>
              <w:tab/>
            </w:r>
            <w:r w:rsidR="00553B37" w:rsidRPr="00553B37">
              <w:rPr>
                <w:rStyle w:val="Lienhypertexte"/>
                <w:rFonts w:ascii="Times New Roman" w:hAnsi="Times New Roman"/>
                <w:noProof/>
                <w:sz w:val="20"/>
              </w:rPr>
              <w:t>Mandat du Secrétariat Technique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_Toc518468046 \h </w:instrText>
            </w:r>
            <w:r w:rsidR="00553B37" w:rsidRPr="00553B37">
              <w:rPr>
                <w:noProof/>
                <w:webHidden/>
              </w:rPr>
            </w:r>
            <w:r w:rsidR="00553B37" w:rsidRPr="00553B37">
              <w:rPr>
                <w:noProof/>
                <w:webHidden/>
              </w:rPr>
              <w:fldChar w:fldCharType="separate"/>
            </w:r>
            <w:r w:rsidR="00553B37" w:rsidRPr="00553B37">
              <w:rPr>
                <w:noProof/>
                <w:webHidden/>
              </w:rPr>
              <w:t>7</w:t>
            </w:r>
            <w:r w:rsidR="00553B37" w:rsidRPr="00553B37">
              <w:rPr>
                <w:noProof/>
                <w:webHidden/>
              </w:rPr>
              <w:fldChar w:fldCharType="end"/>
            </w:r>
          </w:hyperlink>
        </w:p>
        <w:p w14:paraId="3358FAF0" w14:textId="77777777" w:rsidR="00553B37" w:rsidRPr="00553B37" w:rsidRDefault="00A81FC8" w:rsidP="00553B37">
          <w:pPr>
            <w:pStyle w:val="TM2"/>
            <w:rPr>
              <w:rFonts w:eastAsiaTheme="minorEastAsia"/>
              <w:noProof/>
              <w:lang w:eastAsia="fr-FR"/>
            </w:rPr>
          </w:pPr>
          <w:hyperlink w:anchor="_Toc518468047" w:history="1">
            <w:r w:rsidR="00553B37" w:rsidRPr="00553B37">
              <w:rPr>
                <w:rStyle w:val="Lienhypertexte"/>
                <w:rFonts w:ascii="Times New Roman" w:hAnsi="Times New Roman"/>
                <w:noProof/>
                <w:sz w:val="20"/>
              </w:rPr>
              <w:t>3.</w:t>
            </w:r>
            <w:r w:rsidR="00553B37" w:rsidRPr="00553B37">
              <w:rPr>
                <w:rFonts w:eastAsiaTheme="minorEastAsia"/>
                <w:noProof/>
                <w:lang w:eastAsia="fr-FR"/>
              </w:rPr>
              <w:tab/>
            </w:r>
            <w:r w:rsidR="00553B37" w:rsidRPr="00553B37">
              <w:rPr>
                <w:rStyle w:val="Lienhypertexte"/>
                <w:rFonts w:ascii="Times New Roman" w:hAnsi="Times New Roman"/>
                <w:noProof/>
                <w:sz w:val="20"/>
              </w:rPr>
              <w:t>Importance de la publication des informations contextuelles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_Toc518468047 \h </w:instrText>
            </w:r>
            <w:r w:rsidR="00553B37" w:rsidRPr="00553B37">
              <w:rPr>
                <w:noProof/>
                <w:webHidden/>
              </w:rPr>
            </w:r>
            <w:r w:rsidR="00553B37" w:rsidRPr="00553B37">
              <w:rPr>
                <w:noProof/>
                <w:webHidden/>
              </w:rPr>
              <w:fldChar w:fldCharType="separate"/>
            </w:r>
            <w:r w:rsidR="00553B37" w:rsidRPr="00553B37">
              <w:rPr>
                <w:noProof/>
                <w:webHidden/>
              </w:rPr>
              <w:t>8</w:t>
            </w:r>
            <w:r w:rsidR="00553B37" w:rsidRPr="00553B37">
              <w:rPr>
                <w:noProof/>
                <w:webHidden/>
              </w:rPr>
              <w:fldChar w:fldCharType="end"/>
            </w:r>
          </w:hyperlink>
        </w:p>
        <w:p w14:paraId="779FA233" w14:textId="77777777" w:rsidR="00553B37" w:rsidRPr="00553B37" w:rsidRDefault="00A81FC8" w:rsidP="00553B37">
          <w:pPr>
            <w:pStyle w:val="TM2"/>
            <w:rPr>
              <w:rFonts w:eastAsiaTheme="minorEastAsia"/>
              <w:noProof/>
              <w:lang w:eastAsia="fr-FR"/>
            </w:rPr>
          </w:pPr>
          <w:hyperlink w:anchor="_Toc518468048" w:history="1">
            <w:r w:rsidR="00553B37" w:rsidRPr="00553B37">
              <w:rPr>
                <w:rStyle w:val="Lienhypertexte"/>
                <w:rFonts w:ascii="Times New Roman" w:hAnsi="Times New Roman"/>
                <w:noProof/>
                <w:sz w:val="20"/>
              </w:rPr>
              <w:t>4.</w:t>
            </w:r>
            <w:r w:rsidR="00553B37" w:rsidRPr="00553B37">
              <w:rPr>
                <w:rFonts w:eastAsiaTheme="minorEastAsia"/>
                <w:noProof/>
                <w:lang w:eastAsia="fr-FR"/>
              </w:rPr>
              <w:tab/>
            </w:r>
            <w:r w:rsidR="00553B37" w:rsidRPr="00553B37">
              <w:rPr>
                <w:rStyle w:val="Lienhypertexte"/>
                <w:rFonts w:ascii="Times New Roman" w:hAnsi="Times New Roman"/>
                <w:noProof/>
                <w:sz w:val="20"/>
              </w:rPr>
              <w:t>Période de validité des informations publiées dans ce rapport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_Toc518468048 \h </w:instrText>
            </w:r>
            <w:r w:rsidR="00553B37" w:rsidRPr="00553B37">
              <w:rPr>
                <w:noProof/>
                <w:webHidden/>
              </w:rPr>
            </w:r>
            <w:r w:rsidR="00553B37" w:rsidRPr="00553B37">
              <w:rPr>
                <w:noProof/>
                <w:webHidden/>
              </w:rPr>
              <w:fldChar w:fldCharType="separate"/>
            </w:r>
            <w:r w:rsidR="00553B37" w:rsidRPr="00553B37">
              <w:rPr>
                <w:noProof/>
                <w:webHidden/>
              </w:rPr>
              <w:t>8</w:t>
            </w:r>
            <w:r w:rsidR="00553B37" w:rsidRPr="00553B37">
              <w:rPr>
                <w:noProof/>
                <w:webHidden/>
              </w:rPr>
              <w:fldChar w:fldCharType="end"/>
            </w:r>
          </w:hyperlink>
        </w:p>
        <w:p w14:paraId="421E76A3" w14:textId="77777777" w:rsidR="00553B37" w:rsidRPr="00553B37" w:rsidRDefault="00A81FC8" w:rsidP="00553B37">
          <w:pPr>
            <w:pStyle w:val="TM2"/>
            <w:rPr>
              <w:rFonts w:eastAsiaTheme="minorEastAsia"/>
              <w:noProof/>
              <w:lang w:eastAsia="fr-FR"/>
            </w:rPr>
          </w:pPr>
          <w:hyperlink w:anchor="_Toc518468049" w:history="1">
            <w:r w:rsidR="00553B37" w:rsidRPr="00553B37">
              <w:rPr>
                <w:rStyle w:val="Lienhypertexte"/>
                <w:rFonts w:ascii="Times New Roman" w:hAnsi="Times New Roman"/>
                <w:noProof/>
                <w:sz w:val="20"/>
              </w:rPr>
              <w:t>5.</w:t>
            </w:r>
            <w:r w:rsidR="00553B37" w:rsidRPr="00553B37">
              <w:rPr>
                <w:rFonts w:eastAsiaTheme="minorEastAsia"/>
                <w:noProof/>
                <w:lang w:eastAsia="fr-FR"/>
              </w:rPr>
              <w:tab/>
            </w:r>
            <w:r w:rsidR="00553B37" w:rsidRPr="00553B37">
              <w:rPr>
                <w:rStyle w:val="Lienhypertexte"/>
                <w:rFonts w:ascii="Times New Roman" w:hAnsi="Times New Roman"/>
                <w:noProof/>
                <w:sz w:val="20"/>
              </w:rPr>
              <w:t>Méthodologie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_Toc518468049 \h </w:instrText>
            </w:r>
            <w:r w:rsidR="00553B37" w:rsidRPr="00553B37">
              <w:rPr>
                <w:noProof/>
                <w:webHidden/>
              </w:rPr>
            </w:r>
            <w:r w:rsidR="00553B37" w:rsidRPr="00553B37">
              <w:rPr>
                <w:noProof/>
                <w:webHidden/>
              </w:rPr>
              <w:fldChar w:fldCharType="separate"/>
            </w:r>
            <w:r w:rsidR="00553B37" w:rsidRPr="00553B37">
              <w:rPr>
                <w:noProof/>
                <w:webHidden/>
              </w:rPr>
              <w:t>8</w:t>
            </w:r>
            <w:r w:rsidR="00553B37" w:rsidRPr="00553B37">
              <w:rPr>
                <w:noProof/>
                <w:webHidden/>
              </w:rPr>
              <w:fldChar w:fldCharType="end"/>
            </w:r>
          </w:hyperlink>
        </w:p>
        <w:p w14:paraId="25BA2BA6" w14:textId="77777777" w:rsidR="00553B37" w:rsidRPr="00553B37" w:rsidRDefault="00A81FC8" w:rsidP="00553B37">
          <w:pPr>
            <w:pStyle w:val="TM2"/>
            <w:rPr>
              <w:rFonts w:eastAsiaTheme="minorEastAsia"/>
              <w:noProof/>
              <w:lang w:eastAsia="fr-FR"/>
            </w:rPr>
          </w:pPr>
          <w:hyperlink w:anchor="_Toc518468050" w:history="1">
            <w:r w:rsidR="00553B37" w:rsidRPr="00553B37">
              <w:rPr>
                <w:rStyle w:val="Lienhypertexte"/>
                <w:rFonts w:ascii="Times New Roman" w:hAnsi="Times New Roman"/>
                <w:noProof/>
                <w:sz w:val="20"/>
              </w:rPr>
              <w:t>6.</w:t>
            </w:r>
            <w:r w:rsidR="00553B37" w:rsidRPr="00553B37">
              <w:rPr>
                <w:rFonts w:eastAsiaTheme="minorEastAsia"/>
                <w:noProof/>
                <w:lang w:eastAsia="fr-FR"/>
              </w:rPr>
              <w:tab/>
            </w:r>
            <w:r w:rsidR="00553B37" w:rsidRPr="00553B37">
              <w:rPr>
                <w:rStyle w:val="Lienhypertexte"/>
                <w:rFonts w:ascii="Times New Roman" w:hAnsi="Times New Roman"/>
                <w:noProof/>
                <w:sz w:val="20"/>
              </w:rPr>
              <w:t>Limitations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_Toc518468050 \h </w:instrText>
            </w:r>
            <w:r w:rsidR="00553B37" w:rsidRPr="00553B37">
              <w:rPr>
                <w:noProof/>
                <w:webHidden/>
              </w:rPr>
            </w:r>
            <w:r w:rsidR="00553B37" w:rsidRPr="00553B37">
              <w:rPr>
                <w:noProof/>
                <w:webHidden/>
              </w:rPr>
              <w:fldChar w:fldCharType="separate"/>
            </w:r>
            <w:r w:rsidR="00553B37" w:rsidRPr="00553B37">
              <w:rPr>
                <w:noProof/>
                <w:webHidden/>
              </w:rPr>
              <w:t>9</w:t>
            </w:r>
            <w:r w:rsidR="00553B37" w:rsidRPr="00553B37">
              <w:rPr>
                <w:noProof/>
                <w:webHidden/>
              </w:rPr>
              <w:fldChar w:fldCharType="end"/>
            </w:r>
          </w:hyperlink>
        </w:p>
        <w:p w14:paraId="72295060" w14:textId="77777777" w:rsidR="00553B37" w:rsidRPr="00553B37" w:rsidRDefault="00A81FC8" w:rsidP="00553B37">
          <w:pPr>
            <w:pStyle w:val="TM2"/>
            <w:rPr>
              <w:rFonts w:eastAsiaTheme="minorEastAsia"/>
              <w:noProof/>
              <w:lang w:eastAsia="fr-FR"/>
            </w:rPr>
          </w:pPr>
          <w:hyperlink w:anchor="_Toc518468051" w:history="1">
            <w:r w:rsidR="00553B37" w:rsidRPr="00553B37">
              <w:rPr>
                <w:rStyle w:val="Lienhypertexte"/>
                <w:rFonts w:ascii="Times New Roman" w:hAnsi="Times New Roman"/>
                <w:noProof/>
                <w:sz w:val="20"/>
              </w:rPr>
              <w:t>7.</w:t>
            </w:r>
            <w:r w:rsidR="00553B37" w:rsidRPr="00553B37">
              <w:rPr>
                <w:rFonts w:eastAsiaTheme="minorEastAsia"/>
                <w:noProof/>
                <w:lang w:eastAsia="fr-FR"/>
              </w:rPr>
              <w:tab/>
            </w:r>
            <w:r w:rsidR="00553B37" w:rsidRPr="00553B37">
              <w:rPr>
                <w:rStyle w:val="Lienhypertexte"/>
                <w:rFonts w:ascii="Times New Roman" w:hAnsi="Times New Roman"/>
                <w:noProof/>
                <w:sz w:val="20"/>
              </w:rPr>
              <w:t>Exhaustivité et fiabilité des informations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_Toc518468051 \h </w:instrText>
            </w:r>
            <w:r w:rsidR="00553B37" w:rsidRPr="00553B37">
              <w:rPr>
                <w:noProof/>
                <w:webHidden/>
              </w:rPr>
            </w:r>
            <w:r w:rsidR="00553B37" w:rsidRPr="00553B37">
              <w:rPr>
                <w:noProof/>
                <w:webHidden/>
              </w:rPr>
              <w:fldChar w:fldCharType="separate"/>
            </w:r>
            <w:r w:rsidR="00553B37" w:rsidRPr="00553B37">
              <w:rPr>
                <w:noProof/>
                <w:webHidden/>
              </w:rPr>
              <w:t>9</w:t>
            </w:r>
            <w:r w:rsidR="00553B37" w:rsidRPr="00553B37">
              <w:rPr>
                <w:noProof/>
                <w:webHidden/>
              </w:rPr>
              <w:fldChar w:fldCharType="end"/>
            </w:r>
          </w:hyperlink>
        </w:p>
        <w:p w14:paraId="35FD613F" w14:textId="2169E9B6" w:rsidR="00553B37" w:rsidRPr="00553B37" w:rsidRDefault="00A81FC8">
          <w:pPr>
            <w:pStyle w:val="TM1"/>
            <w:rPr>
              <w:rFonts w:ascii="Times New Roman" w:eastAsiaTheme="minorEastAsia" w:hAnsi="Times New Roman" w:cs="Times New Roman"/>
              <w:noProof/>
              <w:sz w:val="20"/>
              <w:lang w:eastAsia="fr-FR"/>
            </w:rPr>
          </w:pPr>
          <w:hyperlink w:anchor="_Toc518468052" w:history="1">
            <w:r w:rsidR="00553B37" w:rsidRPr="00553B37">
              <w:rPr>
                <w:rStyle w:val="Lienhypertexte"/>
                <w:rFonts w:ascii="Times New Roman" w:hAnsi="Times New Roman"/>
                <w:noProof/>
                <w:sz w:val="20"/>
              </w:rPr>
              <w:t>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CADRE LEGAL ET REGIME FISCAL APPLICABLES AUX INDUSTRIES MINIERES ET PETROLIERES EN RDC</w:t>
            </w:r>
            <w:r w:rsidR="00553B37" w:rsidRPr="00553B37">
              <w:rPr>
                <w:rFonts w:ascii="Times New Roman" w:hAnsi="Times New Roman" w:cs="Times New Roman"/>
                <w:noProof/>
                <w:webHidden/>
                <w:sz w:val="20"/>
              </w:rPr>
              <w:tab/>
            </w:r>
            <w:r w:rsidR="00553B37">
              <w:rPr>
                <w:rFonts w:ascii="Times New Roman" w:hAnsi="Times New Roman" w:cs="Times New Roman"/>
                <w:noProof/>
                <w:webHidden/>
                <w:sz w:val="20"/>
              </w:rPr>
              <w:t>………………………………………………………………………………………………………………………</w:t>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_Toc518468052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10</w:t>
            </w:r>
            <w:r w:rsidR="00553B37" w:rsidRPr="00553B37">
              <w:rPr>
                <w:rFonts w:ascii="Times New Roman" w:hAnsi="Times New Roman" w:cs="Times New Roman"/>
                <w:noProof/>
                <w:webHidden/>
                <w:sz w:val="20"/>
              </w:rPr>
              <w:fldChar w:fldCharType="end"/>
            </w:r>
          </w:hyperlink>
        </w:p>
        <w:p w14:paraId="548876CB" w14:textId="77777777" w:rsidR="00553B37" w:rsidRPr="00553B37" w:rsidRDefault="00A81FC8" w:rsidP="00553B37">
          <w:pPr>
            <w:pStyle w:val="TM2"/>
            <w:rPr>
              <w:rFonts w:eastAsiaTheme="minorEastAsia"/>
              <w:noProof/>
              <w:lang w:eastAsia="fr-FR"/>
            </w:rPr>
          </w:pPr>
          <w:hyperlink w:anchor="_Toc518468053" w:history="1">
            <w:r w:rsidR="00553B37" w:rsidRPr="00553B37">
              <w:rPr>
                <w:rStyle w:val="Lienhypertexte"/>
                <w:rFonts w:ascii="Times New Roman" w:hAnsi="Times New Roman"/>
                <w:noProof/>
                <w:sz w:val="20"/>
              </w:rPr>
              <w:t>I.1. Cadre légal et régime fiscal applicables au secteur pétrolier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_Toc518468053 \h </w:instrText>
            </w:r>
            <w:r w:rsidR="00553B37" w:rsidRPr="00553B37">
              <w:rPr>
                <w:noProof/>
                <w:webHidden/>
              </w:rPr>
            </w:r>
            <w:r w:rsidR="00553B37" w:rsidRPr="00553B37">
              <w:rPr>
                <w:noProof/>
                <w:webHidden/>
              </w:rPr>
              <w:fldChar w:fldCharType="separate"/>
            </w:r>
            <w:r w:rsidR="00553B37" w:rsidRPr="00553B37">
              <w:rPr>
                <w:noProof/>
                <w:webHidden/>
              </w:rPr>
              <w:t>11</w:t>
            </w:r>
            <w:r w:rsidR="00553B37" w:rsidRPr="00553B37">
              <w:rPr>
                <w:noProof/>
                <w:webHidden/>
              </w:rPr>
              <w:fldChar w:fldCharType="end"/>
            </w:r>
          </w:hyperlink>
        </w:p>
        <w:p w14:paraId="12421979" w14:textId="77777777" w:rsidR="00553B37" w:rsidRPr="00553B37" w:rsidRDefault="00A81FC8" w:rsidP="00553B37">
          <w:pPr>
            <w:pStyle w:val="TM3"/>
            <w:rPr>
              <w:rFonts w:eastAsiaTheme="minorEastAsia"/>
              <w:noProof/>
              <w:lang w:eastAsia="fr-FR"/>
            </w:rPr>
          </w:pPr>
          <w:hyperlink w:anchor="_Toc518468054" w:history="1">
            <w:r w:rsidR="00553B37" w:rsidRPr="00553B37">
              <w:rPr>
                <w:rStyle w:val="Lienhypertexte"/>
                <w:rFonts w:ascii="Times New Roman" w:hAnsi="Times New Roman"/>
                <w:noProof/>
                <w:sz w:val="20"/>
              </w:rPr>
              <w:t>I.1.1. Cadre légal et aperçu des lois et règlements en vigueur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_Toc518468054 \h </w:instrText>
            </w:r>
            <w:r w:rsidR="00553B37" w:rsidRPr="00553B37">
              <w:rPr>
                <w:noProof/>
                <w:webHidden/>
              </w:rPr>
            </w:r>
            <w:r w:rsidR="00553B37" w:rsidRPr="00553B37">
              <w:rPr>
                <w:noProof/>
                <w:webHidden/>
              </w:rPr>
              <w:fldChar w:fldCharType="separate"/>
            </w:r>
            <w:r w:rsidR="00553B37" w:rsidRPr="00553B37">
              <w:rPr>
                <w:noProof/>
                <w:webHidden/>
              </w:rPr>
              <w:t>11</w:t>
            </w:r>
            <w:r w:rsidR="00553B37" w:rsidRPr="00553B37">
              <w:rPr>
                <w:noProof/>
                <w:webHidden/>
              </w:rPr>
              <w:fldChar w:fldCharType="end"/>
            </w:r>
          </w:hyperlink>
        </w:p>
        <w:p w14:paraId="0CD7F4A0" w14:textId="77777777" w:rsidR="00553B37" w:rsidRPr="00553B37" w:rsidRDefault="00A81FC8" w:rsidP="00553B37">
          <w:pPr>
            <w:pStyle w:val="TM3"/>
            <w:rPr>
              <w:rFonts w:eastAsiaTheme="minorEastAsia"/>
              <w:noProof/>
              <w:lang w:eastAsia="fr-FR"/>
            </w:rPr>
          </w:pPr>
          <w:hyperlink w:anchor="_Toc518468055" w:history="1">
            <w:r w:rsidR="00553B37" w:rsidRPr="00553B37">
              <w:rPr>
                <w:rStyle w:val="Lienhypertexte"/>
                <w:rFonts w:ascii="Times New Roman" w:hAnsi="Times New Roman"/>
                <w:noProof/>
                <w:sz w:val="20"/>
              </w:rPr>
              <w:t>I.1.2. Régime fiscal, douanier et de change des industries pétrolières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_Toc518468055 \h </w:instrText>
            </w:r>
            <w:r w:rsidR="00553B37" w:rsidRPr="00553B37">
              <w:rPr>
                <w:noProof/>
                <w:webHidden/>
              </w:rPr>
            </w:r>
            <w:r w:rsidR="00553B37" w:rsidRPr="00553B37">
              <w:rPr>
                <w:noProof/>
                <w:webHidden/>
              </w:rPr>
              <w:fldChar w:fldCharType="separate"/>
            </w:r>
            <w:r w:rsidR="00553B37" w:rsidRPr="00553B37">
              <w:rPr>
                <w:noProof/>
                <w:webHidden/>
              </w:rPr>
              <w:t>11</w:t>
            </w:r>
            <w:r w:rsidR="00553B37" w:rsidRPr="00553B37">
              <w:rPr>
                <w:noProof/>
                <w:webHidden/>
              </w:rPr>
              <w:fldChar w:fldCharType="end"/>
            </w:r>
          </w:hyperlink>
        </w:p>
        <w:p w14:paraId="53D06468" w14:textId="77777777" w:rsidR="00553B37" w:rsidRPr="00553B37" w:rsidRDefault="00A81FC8" w:rsidP="00553B37">
          <w:pPr>
            <w:pStyle w:val="TM3"/>
            <w:rPr>
              <w:rFonts w:eastAsiaTheme="minorEastAsia"/>
              <w:noProof/>
              <w:lang w:eastAsia="fr-FR"/>
            </w:rPr>
          </w:pPr>
          <w:hyperlink w:anchor="_Toc518468056" w:history="1">
            <w:r w:rsidR="00553B37" w:rsidRPr="00553B37">
              <w:rPr>
                <w:rStyle w:val="Lienhypertexte"/>
                <w:rFonts w:ascii="Times New Roman" w:hAnsi="Times New Roman"/>
                <w:noProof/>
                <w:sz w:val="20"/>
              </w:rPr>
              <w:t>I.1.3. Niveau de décentralisation fiscale du secteur pétrolier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_Toc518468056 \h </w:instrText>
            </w:r>
            <w:r w:rsidR="00553B37" w:rsidRPr="00553B37">
              <w:rPr>
                <w:noProof/>
                <w:webHidden/>
              </w:rPr>
            </w:r>
            <w:r w:rsidR="00553B37" w:rsidRPr="00553B37">
              <w:rPr>
                <w:noProof/>
                <w:webHidden/>
              </w:rPr>
              <w:fldChar w:fldCharType="separate"/>
            </w:r>
            <w:r w:rsidR="00553B37" w:rsidRPr="00553B37">
              <w:rPr>
                <w:noProof/>
                <w:webHidden/>
              </w:rPr>
              <w:t>14</w:t>
            </w:r>
            <w:r w:rsidR="00553B37" w:rsidRPr="00553B37">
              <w:rPr>
                <w:noProof/>
                <w:webHidden/>
              </w:rPr>
              <w:fldChar w:fldCharType="end"/>
            </w:r>
          </w:hyperlink>
        </w:p>
        <w:p w14:paraId="7CA8D227" w14:textId="77777777" w:rsidR="00553B37" w:rsidRPr="00553B37" w:rsidRDefault="00A81FC8" w:rsidP="00553B37">
          <w:pPr>
            <w:pStyle w:val="TM3"/>
            <w:rPr>
              <w:rFonts w:eastAsiaTheme="minorEastAsia"/>
              <w:noProof/>
              <w:lang w:eastAsia="fr-FR"/>
            </w:rPr>
          </w:pPr>
          <w:hyperlink w:anchor="_Toc518468057" w:history="1">
            <w:r w:rsidR="00553B37" w:rsidRPr="00553B37">
              <w:rPr>
                <w:rStyle w:val="Lienhypertexte"/>
                <w:rFonts w:ascii="Times New Roman" w:hAnsi="Times New Roman"/>
                <w:noProof/>
                <w:sz w:val="20"/>
              </w:rPr>
              <w:t>I.1.4. Rôles et responsabilités des entités de régulation du secteur pétrolier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_Toc518468057 \h </w:instrText>
            </w:r>
            <w:r w:rsidR="00553B37" w:rsidRPr="00553B37">
              <w:rPr>
                <w:noProof/>
                <w:webHidden/>
              </w:rPr>
            </w:r>
            <w:r w:rsidR="00553B37" w:rsidRPr="00553B37">
              <w:rPr>
                <w:noProof/>
                <w:webHidden/>
              </w:rPr>
              <w:fldChar w:fldCharType="separate"/>
            </w:r>
            <w:r w:rsidR="00553B37" w:rsidRPr="00553B37">
              <w:rPr>
                <w:noProof/>
                <w:webHidden/>
              </w:rPr>
              <w:t>15</w:t>
            </w:r>
            <w:r w:rsidR="00553B37" w:rsidRPr="00553B37">
              <w:rPr>
                <w:noProof/>
                <w:webHidden/>
              </w:rPr>
              <w:fldChar w:fldCharType="end"/>
            </w:r>
          </w:hyperlink>
        </w:p>
        <w:p w14:paraId="73932357" w14:textId="77777777" w:rsidR="00553B37" w:rsidRPr="00553B37" w:rsidRDefault="00A81FC8" w:rsidP="00553B37">
          <w:pPr>
            <w:pStyle w:val="TM3"/>
            <w:rPr>
              <w:rFonts w:eastAsiaTheme="minorEastAsia"/>
              <w:noProof/>
              <w:lang w:eastAsia="fr-FR"/>
            </w:rPr>
          </w:pPr>
          <w:hyperlink w:anchor="_Toc518468058" w:history="1">
            <w:r w:rsidR="00553B37" w:rsidRPr="00553B37">
              <w:rPr>
                <w:rStyle w:val="Lienhypertexte"/>
                <w:rFonts w:ascii="Times New Roman" w:hAnsi="Times New Roman"/>
                <w:noProof/>
                <w:sz w:val="20"/>
              </w:rPr>
              <w:t>I.1.5. Réformes entreprises ou envisagées dans le secteur des hydrocarbures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_Toc518468058 \h </w:instrText>
            </w:r>
            <w:r w:rsidR="00553B37" w:rsidRPr="00553B37">
              <w:rPr>
                <w:noProof/>
                <w:webHidden/>
              </w:rPr>
            </w:r>
            <w:r w:rsidR="00553B37" w:rsidRPr="00553B37">
              <w:rPr>
                <w:noProof/>
                <w:webHidden/>
              </w:rPr>
              <w:fldChar w:fldCharType="separate"/>
            </w:r>
            <w:r w:rsidR="00553B37" w:rsidRPr="00553B37">
              <w:rPr>
                <w:noProof/>
                <w:webHidden/>
              </w:rPr>
              <w:t>18</w:t>
            </w:r>
            <w:r w:rsidR="00553B37" w:rsidRPr="00553B37">
              <w:rPr>
                <w:noProof/>
                <w:webHidden/>
              </w:rPr>
              <w:fldChar w:fldCharType="end"/>
            </w:r>
          </w:hyperlink>
        </w:p>
        <w:p w14:paraId="6EBFC680" w14:textId="77777777" w:rsidR="00553B37" w:rsidRPr="00553B37" w:rsidRDefault="00A81FC8" w:rsidP="00553B37">
          <w:pPr>
            <w:pStyle w:val="TM2"/>
            <w:rPr>
              <w:rFonts w:eastAsiaTheme="minorEastAsia"/>
              <w:noProof/>
              <w:lang w:eastAsia="fr-FR"/>
            </w:rPr>
          </w:pPr>
          <w:hyperlink w:anchor="_Toc518468059" w:history="1">
            <w:r w:rsidR="00553B37" w:rsidRPr="00553B37">
              <w:rPr>
                <w:rStyle w:val="Lienhypertexte"/>
                <w:rFonts w:ascii="Times New Roman" w:hAnsi="Times New Roman"/>
                <w:noProof/>
                <w:sz w:val="20"/>
              </w:rPr>
              <w:t>I.2. Cadre légal et régime fiscal applicables aux industries minières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_Toc518468059 \h </w:instrText>
            </w:r>
            <w:r w:rsidR="00553B37" w:rsidRPr="00553B37">
              <w:rPr>
                <w:noProof/>
                <w:webHidden/>
              </w:rPr>
            </w:r>
            <w:r w:rsidR="00553B37" w:rsidRPr="00553B37">
              <w:rPr>
                <w:noProof/>
                <w:webHidden/>
              </w:rPr>
              <w:fldChar w:fldCharType="separate"/>
            </w:r>
            <w:r w:rsidR="00553B37" w:rsidRPr="00553B37">
              <w:rPr>
                <w:noProof/>
                <w:webHidden/>
              </w:rPr>
              <w:t>19</w:t>
            </w:r>
            <w:r w:rsidR="00553B37" w:rsidRPr="00553B37">
              <w:rPr>
                <w:noProof/>
                <w:webHidden/>
              </w:rPr>
              <w:fldChar w:fldCharType="end"/>
            </w:r>
          </w:hyperlink>
        </w:p>
        <w:p w14:paraId="4E2F0D1E" w14:textId="77777777" w:rsidR="00553B37" w:rsidRPr="00553B37" w:rsidRDefault="00A81FC8" w:rsidP="00553B37">
          <w:pPr>
            <w:pStyle w:val="TM3"/>
            <w:rPr>
              <w:rFonts w:eastAsiaTheme="minorEastAsia"/>
              <w:noProof/>
              <w:lang w:eastAsia="fr-FR"/>
            </w:rPr>
          </w:pPr>
          <w:hyperlink w:anchor="_Toc518468060" w:history="1">
            <w:r w:rsidR="00553B37" w:rsidRPr="00553B37">
              <w:rPr>
                <w:rStyle w:val="Lienhypertexte"/>
                <w:rFonts w:ascii="Times New Roman" w:hAnsi="Times New Roman"/>
                <w:noProof/>
                <w:sz w:val="20"/>
              </w:rPr>
              <w:t>I.2.1. Cadre légal et aperçu des lois et règlements en vigueur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_Toc518468060 \h </w:instrText>
            </w:r>
            <w:r w:rsidR="00553B37" w:rsidRPr="00553B37">
              <w:rPr>
                <w:noProof/>
                <w:webHidden/>
              </w:rPr>
            </w:r>
            <w:r w:rsidR="00553B37" w:rsidRPr="00553B37">
              <w:rPr>
                <w:noProof/>
                <w:webHidden/>
              </w:rPr>
              <w:fldChar w:fldCharType="separate"/>
            </w:r>
            <w:r w:rsidR="00553B37" w:rsidRPr="00553B37">
              <w:rPr>
                <w:noProof/>
                <w:webHidden/>
              </w:rPr>
              <w:t>19</w:t>
            </w:r>
            <w:r w:rsidR="00553B37" w:rsidRPr="00553B37">
              <w:rPr>
                <w:noProof/>
                <w:webHidden/>
              </w:rPr>
              <w:fldChar w:fldCharType="end"/>
            </w:r>
          </w:hyperlink>
        </w:p>
        <w:p w14:paraId="7E171209" w14:textId="77777777" w:rsidR="00553B37" w:rsidRPr="00553B37" w:rsidRDefault="00A81FC8" w:rsidP="00553B37">
          <w:pPr>
            <w:pStyle w:val="TM3"/>
            <w:rPr>
              <w:rFonts w:eastAsiaTheme="minorEastAsia"/>
              <w:noProof/>
              <w:lang w:eastAsia="fr-FR"/>
            </w:rPr>
          </w:pPr>
          <w:hyperlink w:anchor="_Toc518468061" w:history="1">
            <w:r w:rsidR="00553B37" w:rsidRPr="00553B37">
              <w:rPr>
                <w:rStyle w:val="Lienhypertexte"/>
                <w:rFonts w:ascii="Times New Roman" w:hAnsi="Times New Roman"/>
                <w:noProof/>
                <w:sz w:val="20"/>
              </w:rPr>
              <w:t>I.2.2. Régime fiscal, douanier et de change du 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_Toc518468061 \h </w:instrText>
            </w:r>
            <w:r w:rsidR="00553B37" w:rsidRPr="00553B37">
              <w:rPr>
                <w:noProof/>
                <w:webHidden/>
              </w:rPr>
            </w:r>
            <w:r w:rsidR="00553B37" w:rsidRPr="00553B37">
              <w:rPr>
                <w:noProof/>
                <w:webHidden/>
              </w:rPr>
              <w:fldChar w:fldCharType="separate"/>
            </w:r>
            <w:r w:rsidR="00553B37" w:rsidRPr="00553B37">
              <w:rPr>
                <w:noProof/>
                <w:webHidden/>
              </w:rPr>
              <w:t>21</w:t>
            </w:r>
            <w:r w:rsidR="00553B37" w:rsidRPr="00553B37">
              <w:rPr>
                <w:noProof/>
                <w:webHidden/>
              </w:rPr>
              <w:fldChar w:fldCharType="end"/>
            </w:r>
          </w:hyperlink>
        </w:p>
        <w:p w14:paraId="561BD0D0" w14:textId="77777777" w:rsidR="00553B37" w:rsidRPr="00553B37" w:rsidRDefault="00A81FC8" w:rsidP="00553B37">
          <w:pPr>
            <w:pStyle w:val="TM3"/>
            <w:rPr>
              <w:rFonts w:eastAsiaTheme="minorEastAsia"/>
              <w:noProof/>
              <w:lang w:eastAsia="fr-FR"/>
            </w:rPr>
          </w:pPr>
          <w:hyperlink w:anchor="_Toc518468062" w:history="1">
            <w:r w:rsidR="00553B37" w:rsidRPr="00553B37">
              <w:rPr>
                <w:rStyle w:val="Lienhypertexte"/>
                <w:rFonts w:ascii="Times New Roman" w:hAnsi="Times New Roman"/>
                <w:noProof/>
                <w:sz w:val="20"/>
              </w:rPr>
              <w:t>I.2.3. Niveau de décentralisation fiscale dans le 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_Toc518468062 \h </w:instrText>
            </w:r>
            <w:r w:rsidR="00553B37" w:rsidRPr="00553B37">
              <w:rPr>
                <w:noProof/>
                <w:webHidden/>
              </w:rPr>
            </w:r>
            <w:r w:rsidR="00553B37" w:rsidRPr="00553B37">
              <w:rPr>
                <w:noProof/>
                <w:webHidden/>
              </w:rPr>
              <w:fldChar w:fldCharType="separate"/>
            </w:r>
            <w:r w:rsidR="00553B37" w:rsidRPr="00553B37">
              <w:rPr>
                <w:noProof/>
                <w:webHidden/>
              </w:rPr>
              <w:t>23</w:t>
            </w:r>
            <w:r w:rsidR="00553B37" w:rsidRPr="00553B37">
              <w:rPr>
                <w:noProof/>
                <w:webHidden/>
              </w:rPr>
              <w:fldChar w:fldCharType="end"/>
            </w:r>
          </w:hyperlink>
        </w:p>
        <w:p w14:paraId="0426AAFC" w14:textId="77777777" w:rsidR="00553B37" w:rsidRPr="00553B37" w:rsidRDefault="00A81FC8" w:rsidP="00553B37">
          <w:pPr>
            <w:pStyle w:val="TM3"/>
            <w:rPr>
              <w:rFonts w:eastAsiaTheme="minorEastAsia"/>
              <w:noProof/>
              <w:lang w:eastAsia="fr-FR"/>
            </w:rPr>
          </w:pPr>
          <w:hyperlink w:anchor="_Toc518468063" w:history="1">
            <w:r w:rsidR="00553B37" w:rsidRPr="00553B37">
              <w:rPr>
                <w:rStyle w:val="Lienhypertexte"/>
                <w:rFonts w:ascii="Times New Roman" w:hAnsi="Times New Roman"/>
                <w:noProof/>
                <w:sz w:val="20"/>
              </w:rPr>
              <w:t>1.2.4. Rôle de l’Etat et répartition des compétences dans le 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_Toc518468063 \h </w:instrText>
            </w:r>
            <w:r w:rsidR="00553B37" w:rsidRPr="00553B37">
              <w:rPr>
                <w:noProof/>
                <w:webHidden/>
              </w:rPr>
            </w:r>
            <w:r w:rsidR="00553B37" w:rsidRPr="00553B37">
              <w:rPr>
                <w:noProof/>
                <w:webHidden/>
              </w:rPr>
              <w:fldChar w:fldCharType="separate"/>
            </w:r>
            <w:r w:rsidR="00553B37" w:rsidRPr="00553B37">
              <w:rPr>
                <w:noProof/>
                <w:webHidden/>
              </w:rPr>
              <w:t>24</w:t>
            </w:r>
            <w:r w:rsidR="00553B37" w:rsidRPr="00553B37">
              <w:rPr>
                <w:noProof/>
                <w:webHidden/>
              </w:rPr>
              <w:fldChar w:fldCharType="end"/>
            </w:r>
          </w:hyperlink>
        </w:p>
        <w:p w14:paraId="5A7A3CD8" w14:textId="77777777" w:rsidR="00553B37" w:rsidRPr="00553B37" w:rsidRDefault="00A81FC8" w:rsidP="00553B37">
          <w:pPr>
            <w:pStyle w:val="TM3"/>
            <w:rPr>
              <w:rFonts w:eastAsiaTheme="minorEastAsia"/>
              <w:noProof/>
              <w:lang w:eastAsia="fr-FR"/>
            </w:rPr>
          </w:pPr>
          <w:hyperlink w:anchor="_Toc518468064" w:history="1">
            <w:r w:rsidR="00553B37" w:rsidRPr="00553B37">
              <w:rPr>
                <w:rStyle w:val="Lienhypertexte"/>
                <w:rFonts w:ascii="Times New Roman" w:hAnsi="Times New Roman"/>
                <w:noProof/>
                <w:sz w:val="20"/>
              </w:rPr>
              <w:t>1.2.5. Réformes entreprises ou envisagées dans le 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_Toc518468064 \h </w:instrText>
            </w:r>
            <w:r w:rsidR="00553B37" w:rsidRPr="00553B37">
              <w:rPr>
                <w:noProof/>
                <w:webHidden/>
              </w:rPr>
            </w:r>
            <w:r w:rsidR="00553B37" w:rsidRPr="00553B37">
              <w:rPr>
                <w:noProof/>
                <w:webHidden/>
              </w:rPr>
              <w:fldChar w:fldCharType="separate"/>
            </w:r>
            <w:r w:rsidR="00553B37" w:rsidRPr="00553B37">
              <w:rPr>
                <w:noProof/>
                <w:webHidden/>
              </w:rPr>
              <w:t>27</w:t>
            </w:r>
            <w:r w:rsidR="00553B37" w:rsidRPr="00553B37">
              <w:rPr>
                <w:noProof/>
                <w:webHidden/>
              </w:rPr>
              <w:fldChar w:fldCharType="end"/>
            </w:r>
          </w:hyperlink>
        </w:p>
        <w:p w14:paraId="1E7D0642" w14:textId="77777777" w:rsidR="00553B37" w:rsidRPr="00553B37" w:rsidRDefault="00A81FC8" w:rsidP="00553B37">
          <w:pPr>
            <w:pStyle w:val="TM2"/>
            <w:rPr>
              <w:rFonts w:eastAsiaTheme="minorEastAsia"/>
              <w:noProof/>
              <w:lang w:eastAsia="fr-FR"/>
            </w:rPr>
          </w:pPr>
          <w:hyperlink w:anchor="_Toc518468065" w:history="1">
            <w:r w:rsidR="00553B37" w:rsidRPr="00553B37">
              <w:rPr>
                <w:rStyle w:val="Lienhypertexte"/>
                <w:rFonts w:ascii="Times New Roman" w:hAnsi="Times New Roman"/>
                <w:noProof/>
                <w:sz w:val="20"/>
              </w:rPr>
              <w:t>I.3. Tableau de description des flux</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_Toc518468065 \h </w:instrText>
            </w:r>
            <w:r w:rsidR="00553B37" w:rsidRPr="00553B37">
              <w:rPr>
                <w:noProof/>
                <w:webHidden/>
              </w:rPr>
            </w:r>
            <w:r w:rsidR="00553B37" w:rsidRPr="00553B37">
              <w:rPr>
                <w:noProof/>
                <w:webHidden/>
              </w:rPr>
              <w:fldChar w:fldCharType="separate"/>
            </w:r>
            <w:r w:rsidR="00553B37" w:rsidRPr="00553B37">
              <w:rPr>
                <w:noProof/>
                <w:webHidden/>
              </w:rPr>
              <w:t>29</w:t>
            </w:r>
            <w:r w:rsidR="00553B37" w:rsidRPr="00553B37">
              <w:rPr>
                <w:noProof/>
                <w:webHidden/>
              </w:rPr>
              <w:fldChar w:fldCharType="end"/>
            </w:r>
          </w:hyperlink>
        </w:p>
        <w:p w14:paraId="3D65D902" w14:textId="77777777" w:rsidR="00553B37" w:rsidRPr="00553B37" w:rsidRDefault="00A81FC8">
          <w:pPr>
            <w:pStyle w:val="TM1"/>
            <w:rPr>
              <w:rFonts w:ascii="Times New Roman" w:eastAsiaTheme="minorEastAsia" w:hAnsi="Times New Roman" w:cs="Times New Roman"/>
              <w:noProof/>
              <w:sz w:val="20"/>
              <w:lang w:eastAsia="fr-FR"/>
            </w:rPr>
          </w:pPr>
          <w:hyperlink w:anchor="_Toc518468066" w:history="1">
            <w:r w:rsidR="00553B37" w:rsidRPr="00553B37">
              <w:rPr>
                <w:rStyle w:val="Lienhypertexte"/>
                <w:rFonts w:ascii="Times New Roman" w:hAnsi="Times New Roman"/>
                <w:noProof/>
                <w:sz w:val="20"/>
              </w:rPr>
              <w:t>II.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OCTROI DES DROITS MINIERS ET PETROLIERS</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_Toc518468066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30</w:t>
            </w:r>
            <w:r w:rsidR="00553B37" w:rsidRPr="00553B37">
              <w:rPr>
                <w:rFonts w:ascii="Times New Roman" w:hAnsi="Times New Roman" w:cs="Times New Roman"/>
                <w:noProof/>
                <w:webHidden/>
                <w:sz w:val="20"/>
              </w:rPr>
              <w:fldChar w:fldCharType="end"/>
            </w:r>
          </w:hyperlink>
        </w:p>
        <w:p w14:paraId="07430310" w14:textId="77777777" w:rsidR="00553B37" w:rsidRPr="00553B37" w:rsidRDefault="00A81FC8" w:rsidP="00553B37">
          <w:pPr>
            <w:pStyle w:val="TM2"/>
            <w:rPr>
              <w:rFonts w:eastAsiaTheme="minorEastAsia"/>
              <w:noProof/>
              <w:lang w:eastAsia="fr-FR"/>
            </w:rPr>
          </w:pPr>
          <w:hyperlink w:anchor="_Toc518468067" w:history="1">
            <w:r w:rsidR="00553B37" w:rsidRPr="00553B37">
              <w:rPr>
                <w:rStyle w:val="Lienhypertexte"/>
                <w:rFonts w:ascii="Times New Roman" w:hAnsi="Times New Roman"/>
                <w:noProof/>
                <w:sz w:val="20"/>
              </w:rPr>
              <w:t>II.1. Procédure d’octroi des droits pétroliers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_Toc518468067 \h </w:instrText>
            </w:r>
            <w:r w:rsidR="00553B37" w:rsidRPr="00553B37">
              <w:rPr>
                <w:noProof/>
                <w:webHidden/>
              </w:rPr>
            </w:r>
            <w:r w:rsidR="00553B37" w:rsidRPr="00553B37">
              <w:rPr>
                <w:noProof/>
                <w:webHidden/>
              </w:rPr>
              <w:fldChar w:fldCharType="separate"/>
            </w:r>
            <w:r w:rsidR="00553B37" w:rsidRPr="00553B37">
              <w:rPr>
                <w:noProof/>
                <w:webHidden/>
              </w:rPr>
              <w:t>30</w:t>
            </w:r>
            <w:r w:rsidR="00553B37" w:rsidRPr="00553B37">
              <w:rPr>
                <w:noProof/>
                <w:webHidden/>
              </w:rPr>
              <w:fldChar w:fldCharType="end"/>
            </w:r>
          </w:hyperlink>
        </w:p>
        <w:p w14:paraId="30D92E6B" w14:textId="77777777" w:rsidR="00553B37" w:rsidRPr="00553B37" w:rsidRDefault="00A81FC8" w:rsidP="00553B37">
          <w:pPr>
            <w:pStyle w:val="TM2"/>
            <w:rPr>
              <w:rFonts w:eastAsiaTheme="minorEastAsia"/>
              <w:noProof/>
              <w:lang w:eastAsia="fr-FR"/>
            </w:rPr>
          </w:pPr>
          <w:hyperlink w:anchor="_Toc518468068" w:history="1">
            <w:r w:rsidR="00553B37" w:rsidRPr="00553B37">
              <w:rPr>
                <w:rStyle w:val="Lienhypertexte"/>
                <w:rFonts w:ascii="Times New Roman" w:hAnsi="Times New Roman"/>
                <w:noProof/>
                <w:sz w:val="20"/>
              </w:rPr>
              <w:t>II.2. Procédure d’octroi des droits miniers et/ou de carrières et de la délivrance des titres miniers et de carrières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_Toc518468068 \h </w:instrText>
            </w:r>
            <w:r w:rsidR="00553B37" w:rsidRPr="00553B37">
              <w:rPr>
                <w:noProof/>
                <w:webHidden/>
              </w:rPr>
            </w:r>
            <w:r w:rsidR="00553B37" w:rsidRPr="00553B37">
              <w:rPr>
                <w:noProof/>
                <w:webHidden/>
              </w:rPr>
              <w:fldChar w:fldCharType="separate"/>
            </w:r>
            <w:r w:rsidR="00553B37" w:rsidRPr="00553B37">
              <w:rPr>
                <w:noProof/>
                <w:webHidden/>
              </w:rPr>
              <w:t>34</w:t>
            </w:r>
            <w:r w:rsidR="00553B37" w:rsidRPr="00553B37">
              <w:rPr>
                <w:noProof/>
                <w:webHidden/>
              </w:rPr>
              <w:fldChar w:fldCharType="end"/>
            </w:r>
          </w:hyperlink>
        </w:p>
        <w:p w14:paraId="16D67BCA" w14:textId="77777777" w:rsidR="00553B37" w:rsidRPr="00553B37" w:rsidRDefault="00A81FC8" w:rsidP="00553B37">
          <w:pPr>
            <w:pStyle w:val="TM2"/>
            <w:rPr>
              <w:rFonts w:eastAsiaTheme="minorEastAsia"/>
              <w:noProof/>
              <w:lang w:eastAsia="fr-FR"/>
            </w:rPr>
          </w:pPr>
          <w:hyperlink w:anchor="_Toc518468069" w:history="1">
            <w:r w:rsidR="00553B37" w:rsidRPr="00553B37">
              <w:rPr>
                <w:rStyle w:val="Lienhypertexte"/>
                <w:rFonts w:ascii="Times New Roman" w:hAnsi="Times New Roman"/>
                <w:noProof/>
                <w:sz w:val="20"/>
              </w:rPr>
              <w:t>II.3. Transactions sur les droits miniers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_Toc518468069 \h </w:instrText>
            </w:r>
            <w:r w:rsidR="00553B37" w:rsidRPr="00553B37">
              <w:rPr>
                <w:noProof/>
                <w:webHidden/>
              </w:rPr>
            </w:r>
            <w:r w:rsidR="00553B37" w:rsidRPr="00553B37">
              <w:rPr>
                <w:noProof/>
                <w:webHidden/>
              </w:rPr>
              <w:fldChar w:fldCharType="separate"/>
            </w:r>
            <w:r w:rsidR="00553B37" w:rsidRPr="00553B37">
              <w:rPr>
                <w:noProof/>
                <w:webHidden/>
              </w:rPr>
              <w:t>40</w:t>
            </w:r>
            <w:r w:rsidR="00553B37" w:rsidRPr="00553B37">
              <w:rPr>
                <w:noProof/>
                <w:webHidden/>
              </w:rPr>
              <w:fldChar w:fldCharType="end"/>
            </w:r>
          </w:hyperlink>
        </w:p>
        <w:p w14:paraId="3D57C1B6" w14:textId="77777777" w:rsidR="00553B37" w:rsidRPr="00553B37" w:rsidRDefault="00A81FC8" w:rsidP="00553B37">
          <w:pPr>
            <w:pStyle w:val="TM3"/>
            <w:rPr>
              <w:rFonts w:eastAsiaTheme="minorEastAsia"/>
              <w:noProof/>
              <w:lang w:eastAsia="fr-FR"/>
            </w:rPr>
          </w:pPr>
          <w:hyperlink w:anchor="_Toc518468070" w:history="1">
            <w:r w:rsidR="00553B37" w:rsidRPr="00553B37">
              <w:rPr>
                <w:rStyle w:val="Lienhypertexte"/>
                <w:rFonts w:ascii="Times New Roman" w:hAnsi="Times New Roman"/>
                <w:noProof/>
                <w:sz w:val="20"/>
              </w:rPr>
              <w:t>3.1 L’amodiation</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_Toc518468070 \h </w:instrText>
            </w:r>
            <w:r w:rsidR="00553B37" w:rsidRPr="00553B37">
              <w:rPr>
                <w:noProof/>
                <w:webHidden/>
              </w:rPr>
            </w:r>
            <w:r w:rsidR="00553B37" w:rsidRPr="00553B37">
              <w:rPr>
                <w:noProof/>
                <w:webHidden/>
              </w:rPr>
              <w:fldChar w:fldCharType="separate"/>
            </w:r>
            <w:r w:rsidR="00553B37" w:rsidRPr="00553B37">
              <w:rPr>
                <w:noProof/>
                <w:webHidden/>
              </w:rPr>
              <w:t>40</w:t>
            </w:r>
            <w:r w:rsidR="00553B37" w:rsidRPr="00553B37">
              <w:rPr>
                <w:noProof/>
                <w:webHidden/>
              </w:rPr>
              <w:fldChar w:fldCharType="end"/>
            </w:r>
          </w:hyperlink>
        </w:p>
        <w:p w14:paraId="6AAF27F9" w14:textId="77777777" w:rsidR="00553B37" w:rsidRPr="00553B37" w:rsidRDefault="00A81FC8" w:rsidP="00553B37">
          <w:pPr>
            <w:pStyle w:val="TM3"/>
            <w:rPr>
              <w:rFonts w:eastAsiaTheme="minorEastAsia"/>
              <w:noProof/>
              <w:lang w:eastAsia="fr-FR"/>
            </w:rPr>
          </w:pPr>
          <w:hyperlink w:anchor="_Toc518468071" w:history="1">
            <w:r w:rsidR="00553B37" w:rsidRPr="00553B37">
              <w:rPr>
                <w:rStyle w:val="Lienhypertexte"/>
                <w:rFonts w:ascii="Times New Roman" w:hAnsi="Times New Roman"/>
                <w:noProof/>
                <w:sz w:val="20"/>
              </w:rPr>
              <w:t>3.2 La mutation</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_Toc518468071 \h </w:instrText>
            </w:r>
            <w:r w:rsidR="00553B37" w:rsidRPr="00553B37">
              <w:rPr>
                <w:noProof/>
                <w:webHidden/>
              </w:rPr>
            </w:r>
            <w:r w:rsidR="00553B37" w:rsidRPr="00553B37">
              <w:rPr>
                <w:noProof/>
                <w:webHidden/>
              </w:rPr>
              <w:fldChar w:fldCharType="separate"/>
            </w:r>
            <w:r w:rsidR="00553B37" w:rsidRPr="00553B37">
              <w:rPr>
                <w:noProof/>
                <w:webHidden/>
              </w:rPr>
              <w:t>40</w:t>
            </w:r>
            <w:r w:rsidR="00553B37" w:rsidRPr="00553B37">
              <w:rPr>
                <w:noProof/>
                <w:webHidden/>
              </w:rPr>
              <w:fldChar w:fldCharType="end"/>
            </w:r>
          </w:hyperlink>
        </w:p>
        <w:p w14:paraId="5C9D78E3" w14:textId="77777777" w:rsidR="00553B37" w:rsidRPr="00553B37" w:rsidRDefault="00A81FC8" w:rsidP="00553B37">
          <w:pPr>
            <w:pStyle w:val="TM2"/>
            <w:rPr>
              <w:rFonts w:eastAsiaTheme="minorEastAsia"/>
              <w:noProof/>
              <w:lang w:eastAsia="fr-FR"/>
            </w:rPr>
          </w:pPr>
          <w:hyperlink w:anchor="_Toc518468072" w:history="1">
            <w:r w:rsidR="00553B37" w:rsidRPr="00553B37">
              <w:rPr>
                <w:rStyle w:val="Lienhypertexte"/>
                <w:rFonts w:ascii="Times New Roman" w:hAnsi="Times New Roman"/>
                <w:noProof/>
                <w:sz w:val="20"/>
              </w:rPr>
              <w:t>II.4. Types de titres miniers octroyés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_Toc518468072 \h </w:instrText>
            </w:r>
            <w:r w:rsidR="00553B37" w:rsidRPr="00553B37">
              <w:rPr>
                <w:noProof/>
                <w:webHidden/>
              </w:rPr>
            </w:r>
            <w:r w:rsidR="00553B37" w:rsidRPr="00553B37">
              <w:rPr>
                <w:noProof/>
                <w:webHidden/>
              </w:rPr>
              <w:fldChar w:fldCharType="separate"/>
            </w:r>
            <w:r w:rsidR="00553B37" w:rsidRPr="00553B37">
              <w:rPr>
                <w:noProof/>
                <w:webHidden/>
              </w:rPr>
              <w:t>41</w:t>
            </w:r>
            <w:r w:rsidR="00553B37" w:rsidRPr="00553B37">
              <w:rPr>
                <w:noProof/>
                <w:webHidden/>
              </w:rPr>
              <w:fldChar w:fldCharType="end"/>
            </w:r>
          </w:hyperlink>
        </w:p>
        <w:p w14:paraId="203378DB" w14:textId="77777777" w:rsidR="00553B37" w:rsidRPr="00553B37" w:rsidRDefault="00A81FC8">
          <w:pPr>
            <w:pStyle w:val="TM1"/>
            <w:rPr>
              <w:rFonts w:ascii="Times New Roman" w:eastAsiaTheme="minorEastAsia" w:hAnsi="Times New Roman" w:cs="Times New Roman"/>
              <w:noProof/>
              <w:sz w:val="20"/>
              <w:lang w:eastAsia="fr-FR"/>
            </w:rPr>
          </w:pPr>
          <w:hyperlink w:anchor="_Toc518468073" w:history="1">
            <w:r w:rsidR="00553B37" w:rsidRPr="00553B37">
              <w:rPr>
                <w:rStyle w:val="Lienhypertexte"/>
                <w:rFonts w:ascii="Times New Roman" w:hAnsi="Times New Roman"/>
                <w:noProof/>
                <w:sz w:val="20"/>
              </w:rPr>
              <w:t>III.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REGISTRE DES DROITS</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_Toc518468073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43</w:t>
            </w:r>
            <w:r w:rsidR="00553B37" w:rsidRPr="00553B37">
              <w:rPr>
                <w:rFonts w:ascii="Times New Roman" w:hAnsi="Times New Roman" w:cs="Times New Roman"/>
                <w:noProof/>
                <w:webHidden/>
                <w:sz w:val="20"/>
              </w:rPr>
              <w:fldChar w:fldCharType="end"/>
            </w:r>
          </w:hyperlink>
        </w:p>
        <w:p w14:paraId="71B01B9C" w14:textId="77777777" w:rsidR="00553B37" w:rsidRPr="00553B37" w:rsidRDefault="00A81FC8" w:rsidP="00553B37">
          <w:pPr>
            <w:pStyle w:val="TM2"/>
            <w:rPr>
              <w:rFonts w:eastAsiaTheme="minorEastAsia"/>
              <w:noProof/>
              <w:lang w:eastAsia="fr-FR"/>
            </w:rPr>
          </w:pPr>
          <w:hyperlink w:anchor="_Toc518468074" w:history="1">
            <w:r w:rsidR="00553B37" w:rsidRPr="00553B37">
              <w:rPr>
                <w:rStyle w:val="Lienhypertexte"/>
                <w:rFonts w:ascii="Times New Roman" w:hAnsi="Times New Roman"/>
                <w:noProof/>
                <w:sz w:val="20"/>
              </w:rPr>
              <w:t>III.1. Registre des droits miniers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_Toc518468074 \h </w:instrText>
            </w:r>
            <w:r w:rsidR="00553B37" w:rsidRPr="00553B37">
              <w:rPr>
                <w:noProof/>
                <w:webHidden/>
              </w:rPr>
            </w:r>
            <w:r w:rsidR="00553B37" w:rsidRPr="00553B37">
              <w:rPr>
                <w:noProof/>
                <w:webHidden/>
              </w:rPr>
              <w:fldChar w:fldCharType="separate"/>
            </w:r>
            <w:r w:rsidR="00553B37" w:rsidRPr="00553B37">
              <w:rPr>
                <w:noProof/>
                <w:webHidden/>
              </w:rPr>
              <w:t>43</w:t>
            </w:r>
            <w:r w:rsidR="00553B37" w:rsidRPr="00553B37">
              <w:rPr>
                <w:noProof/>
                <w:webHidden/>
              </w:rPr>
              <w:fldChar w:fldCharType="end"/>
            </w:r>
          </w:hyperlink>
        </w:p>
        <w:p w14:paraId="0C201667" w14:textId="77777777" w:rsidR="00553B37" w:rsidRPr="00553B37" w:rsidRDefault="00A81FC8" w:rsidP="00553B37">
          <w:pPr>
            <w:pStyle w:val="TM2"/>
            <w:rPr>
              <w:rFonts w:eastAsiaTheme="minorEastAsia"/>
              <w:noProof/>
              <w:lang w:eastAsia="fr-FR"/>
            </w:rPr>
          </w:pPr>
          <w:hyperlink w:anchor="_Toc518468075" w:history="1">
            <w:r w:rsidR="00553B37" w:rsidRPr="00553B37">
              <w:rPr>
                <w:rStyle w:val="Lienhypertexte"/>
                <w:rFonts w:ascii="Times New Roman" w:hAnsi="Times New Roman"/>
                <w:noProof/>
                <w:sz w:val="20"/>
              </w:rPr>
              <w:t>III.2. Registre des droits pétroliers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_Toc518468075 \h </w:instrText>
            </w:r>
            <w:r w:rsidR="00553B37" w:rsidRPr="00553B37">
              <w:rPr>
                <w:noProof/>
                <w:webHidden/>
              </w:rPr>
            </w:r>
            <w:r w:rsidR="00553B37" w:rsidRPr="00553B37">
              <w:rPr>
                <w:noProof/>
                <w:webHidden/>
              </w:rPr>
              <w:fldChar w:fldCharType="separate"/>
            </w:r>
            <w:r w:rsidR="00553B37" w:rsidRPr="00553B37">
              <w:rPr>
                <w:noProof/>
                <w:webHidden/>
              </w:rPr>
              <w:t>45</w:t>
            </w:r>
            <w:r w:rsidR="00553B37" w:rsidRPr="00553B37">
              <w:rPr>
                <w:noProof/>
                <w:webHidden/>
              </w:rPr>
              <w:fldChar w:fldCharType="end"/>
            </w:r>
          </w:hyperlink>
        </w:p>
        <w:p w14:paraId="46082218" w14:textId="77777777" w:rsidR="00553B37" w:rsidRPr="00553B37" w:rsidRDefault="00A81FC8">
          <w:pPr>
            <w:pStyle w:val="TM1"/>
            <w:rPr>
              <w:rFonts w:ascii="Times New Roman" w:eastAsiaTheme="minorEastAsia" w:hAnsi="Times New Roman" w:cs="Times New Roman"/>
              <w:noProof/>
              <w:sz w:val="20"/>
              <w:lang w:eastAsia="fr-FR"/>
            </w:rPr>
          </w:pPr>
          <w:hyperlink w:anchor="_Toc518468076" w:history="1">
            <w:r w:rsidR="00553B37" w:rsidRPr="00553B37">
              <w:rPr>
                <w:rStyle w:val="Lienhypertexte"/>
                <w:rFonts w:ascii="Times New Roman" w:hAnsi="Times New Roman"/>
                <w:bCs/>
                <w:iCs/>
                <w:noProof/>
                <w:sz w:val="20"/>
              </w:rPr>
              <w:t>IV.</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POLITIQUE DE PUBLICATION DES CONTRATS MINIERS ET PETROLIERS</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_Toc518468076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47</w:t>
            </w:r>
            <w:r w:rsidR="00553B37" w:rsidRPr="00553B37">
              <w:rPr>
                <w:rFonts w:ascii="Times New Roman" w:hAnsi="Times New Roman" w:cs="Times New Roman"/>
                <w:noProof/>
                <w:webHidden/>
                <w:sz w:val="20"/>
              </w:rPr>
              <w:fldChar w:fldCharType="end"/>
            </w:r>
          </w:hyperlink>
        </w:p>
        <w:p w14:paraId="4110C0CB" w14:textId="77777777" w:rsidR="00553B37" w:rsidRPr="00553B37" w:rsidRDefault="00A81FC8">
          <w:pPr>
            <w:pStyle w:val="TM1"/>
            <w:rPr>
              <w:rFonts w:ascii="Times New Roman" w:eastAsiaTheme="minorEastAsia" w:hAnsi="Times New Roman" w:cs="Times New Roman"/>
              <w:noProof/>
              <w:sz w:val="20"/>
              <w:lang w:eastAsia="fr-FR"/>
            </w:rPr>
          </w:pPr>
          <w:hyperlink w:anchor="_Toc518468077" w:history="1">
            <w:r w:rsidR="00553B37" w:rsidRPr="00553B37">
              <w:rPr>
                <w:rStyle w:val="Lienhypertexte"/>
                <w:rFonts w:ascii="Times New Roman" w:hAnsi="Times New Roman"/>
                <w:noProof/>
                <w:sz w:val="20"/>
              </w:rPr>
              <w:t>V.</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PROPRIETE REELLE</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_Toc518468077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49</w:t>
            </w:r>
            <w:r w:rsidR="00553B37" w:rsidRPr="00553B37">
              <w:rPr>
                <w:rFonts w:ascii="Times New Roman" w:hAnsi="Times New Roman" w:cs="Times New Roman"/>
                <w:noProof/>
                <w:webHidden/>
                <w:sz w:val="20"/>
              </w:rPr>
              <w:fldChar w:fldCharType="end"/>
            </w:r>
          </w:hyperlink>
        </w:p>
        <w:p w14:paraId="3AC10FED" w14:textId="77777777" w:rsidR="00553B37" w:rsidRPr="00553B37" w:rsidRDefault="00A81FC8" w:rsidP="00553B37">
          <w:pPr>
            <w:pStyle w:val="TM2"/>
            <w:rPr>
              <w:rFonts w:eastAsiaTheme="minorEastAsia"/>
              <w:noProof/>
              <w:lang w:eastAsia="fr-FR"/>
            </w:rPr>
          </w:pPr>
          <w:hyperlink w:anchor="_Toc518468078" w:history="1">
            <w:r w:rsidR="00553B37" w:rsidRPr="00553B37">
              <w:rPr>
                <w:rStyle w:val="Lienhypertexte"/>
                <w:rFonts w:ascii="Times New Roman" w:hAnsi="Times New Roman"/>
                <w:noProof/>
                <w:sz w:val="20"/>
              </w:rPr>
              <w:t>V.1. Contexte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_Toc518468078 \h </w:instrText>
            </w:r>
            <w:r w:rsidR="00553B37" w:rsidRPr="00553B37">
              <w:rPr>
                <w:noProof/>
                <w:webHidden/>
              </w:rPr>
            </w:r>
            <w:r w:rsidR="00553B37" w:rsidRPr="00553B37">
              <w:rPr>
                <w:noProof/>
                <w:webHidden/>
              </w:rPr>
              <w:fldChar w:fldCharType="separate"/>
            </w:r>
            <w:r w:rsidR="00553B37" w:rsidRPr="00553B37">
              <w:rPr>
                <w:noProof/>
                <w:webHidden/>
              </w:rPr>
              <w:t>49</w:t>
            </w:r>
            <w:r w:rsidR="00553B37" w:rsidRPr="00553B37">
              <w:rPr>
                <w:noProof/>
                <w:webHidden/>
              </w:rPr>
              <w:fldChar w:fldCharType="end"/>
            </w:r>
          </w:hyperlink>
        </w:p>
        <w:p w14:paraId="1B8CCB52" w14:textId="77777777" w:rsidR="00553B37" w:rsidRPr="00553B37" w:rsidRDefault="00A81FC8" w:rsidP="00553B37">
          <w:pPr>
            <w:pStyle w:val="TM2"/>
            <w:rPr>
              <w:rFonts w:eastAsiaTheme="minorEastAsia"/>
              <w:noProof/>
              <w:lang w:eastAsia="fr-FR"/>
            </w:rPr>
          </w:pPr>
          <w:hyperlink w:anchor="_Toc518468079" w:history="1">
            <w:r w:rsidR="00553B37" w:rsidRPr="00553B37">
              <w:rPr>
                <w:rStyle w:val="Lienhypertexte"/>
                <w:rFonts w:ascii="Times New Roman" w:hAnsi="Times New Roman"/>
                <w:noProof/>
                <w:sz w:val="20"/>
              </w:rPr>
              <w:t>V.2. Niveau d’exécution de la Feuille de route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_Toc518468079 \h </w:instrText>
            </w:r>
            <w:r w:rsidR="00553B37" w:rsidRPr="00553B37">
              <w:rPr>
                <w:noProof/>
                <w:webHidden/>
              </w:rPr>
            </w:r>
            <w:r w:rsidR="00553B37" w:rsidRPr="00553B37">
              <w:rPr>
                <w:noProof/>
                <w:webHidden/>
              </w:rPr>
              <w:fldChar w:fldCharType="separate"/>
            </w:r>
            <w:r w:rsidR="00553B37" w:rsidRPr="00553B37">
              <w:rPr>
                <w:noProof/>
                <w:webHidden/>
              </w:rPr>
              <w:t>51</w:t>
            </w:r>
            <w:r w:rsidR="00553B37" w:rsidRPr="00553B37">
              <w:rPr>
                <w:noProof/>
                <w:webHidden/>
              </w:rPr>
              <w:fldChar w:fldCharType="end"/>
            </w:r>
          </w:hyperlink>
        </w:p>
        <w:p w14:paraId="0360C290" w14:textId="77777777" w:rsidR="00553B37" w:rsidRPr="00553B37" w:rsidRDefault="00A81FC8">
          <w:pPr>
            <w:pStyle w:val="TM1"/>
            <w:rPr>
              <w:rFonts w:ascii="Times New Roman" w:eastAsiaTheme="minorEastAsia" w:hAnsi="Times New Roman" w:cs="Times New Roman"/>
              <w:noProof/>
              <w:sz w:val="20"/>
              <w:lang w:eastAsia="fr-FR"/>
            </w:rPr>
          </w:pPr>
          <w:hyperlink w:anchor="_Toc518468080" w:history="1">
            <w:r w:rsidR="00553B37" w:rsidRPr="00553B37">
              <w:rPr>
                <w:rStyle w:val="Lienhypertexte"/>
                <w:rFonts w:ascii="Times New Roman" w:hAnsi="Times New Roman"/>
                <w:noProof/>
                <w:sz w:val="20"/>
              </w:rPr>
              <w:t>VI.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PROSPECTION, PRODUCTION ET EXPORTATIONS</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_Toc518468080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53</w:t>
            </w:r>
            <w:r w:rsidR="00553B37" w:rsidRPr="00553B37">
              <w:rPr>
                <w:rFonts w:ascii="Times New Roman" w:hAnsi="Times New Roman" w:cs="Times New Roman"/>
                <w:noProof/>
                <w:webHidden/>
                <w:sz w:val="20"/>
              </w:rPr>
              <w:fldChar w:fldCharType="end"/>
            </w:r>
          </w:hyperlink>
        </w:p>
        <w:p w14:paraId="3214C383" w14:textId="77777777" w:rsidR="00553B37" w:rsidRPr="00553B37" w:rsidRDefault="00A81FC8" w:rsidP="00553B37">
          <w:pPr>
            <w:pStyle w:val="TM2"/>
            <w:rPr>
              <w:rFonts w:eastAsiaTheme="minorEastAsia"/>
              <w:noProof/>
              <w:lang w:eastAsia="fr-FR"/>
            </w:rPr>
          </w:pPr>
          <w:hyperlink w:anchor="_Toc518468081" w:history="1">
            <w:r w:rsidR="00553B37" w:rsidRPr="00553B37">
              <w:rPr>
                <w:rStyle w:val="Lienhypertexte"/>
                <w:rFonts w:ascii="Times New Roman" w:hAnsi="Times New Roman"/>
                <w:noProof/>
                <w:sz w:val="20"/>
              </w:rPr>
              <w:t>VI.1. Activité de prospection</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_Toc518468081 \h </w:instrText>
            </w:r>
            <w:r w:rsidR="00553B37" w:rsidRPr="00553B37">
              <w:rPr>
                <w:noProof/>
                <w:webHidden/>
              </w:rPr>
            </w:r>
            <w:r w:rsidR="00553B37" w:rsidRPr="00553B37">
              <w:rPr>
                <w:noProof/>
                <w:webHidden/>
              </w:rPr>
              <w:fldChar w:fldCharType="separate"/>
            </w:r>
            <w:r w:rsidR="00553B37" w:rsidRPr="00553B37">
              <w:rPr>
                <w:noProof/>
                <w:webHidden/>
              </w:rPr>
              <w:t>53</w:t>
            </w:r>
            <w:r w:rsidR="00553B37" w:rsidRPr="00553B37">
              <w:rPr>
                <w:noProof/>
                <w:webHidden/>
              </w:rPr>
              <w:fldChar w:fldCharType="end"/>
            </w:r>
          </w:hyperlink>
        </w:p>
        <w:p w14:paraId="619D5114" w14:textId="77777777" w:rsidR="00553B37" w:rsidRPr="00553B37" w:rsidRDefault="00A81FC8" w:rsidP="00553B37">
          <w:pPr>
            <w:pStyle w:val="TM3"/>
            <w:rPr>
              <w:rFonts w:eastAsiaTheme="minorEastAsia"/>
              <w:noProof/>
              <w:lang w:eastAsia="fr-FR"/>
            </w:rPr>
          </w:pPr>
          <w:hyperlink w:anchor="_Toc518468082" w:history="1">
            <w:r w:rsidR="00553B37" w:rsidRPr="00553B37">
              <w:rPr>
                <w:rStyle w:val="Lienhypertexte"/>
                <w:rFonts w:ascii="Times New Roman" w:hAnsi="Times New Roman"/>
                <w:noProof/>
                <w:sz w:val="20"/>
              </w:rPr>
              <w:t>1.</w:t>
            </w:r>
            <w:r w:rsidR="00553B37" w:rsidRPr="00553B37">
              <w:rPr>
                <w:rFonts w:eastAsiaTheme="minorEastAsia"/>
                <w:noProof/>
                <w:lang w:eastAsia="fr-FR"/>
              </w:rPr>
              <w:tab/>
            </w:r>
            <w:r w:rsidR="00553B37" w:rsidRPr="00553B37">
              <w:rPr>
                <w:rStyle w:val="Lienhypertexte"/>
                <w:rFonts w:ascii="Times New Roman" w:hAnsi="Times New Roman"/>
                <w:noProof/>
                <w:sz w:val="20"/>
              </w:rPr>
              <w:t>Secteur pétrolier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_Toc518468082 \h </w:instrText>
            </w:r>
            <w:r w:rsidR="00553B37" w:rsidRPr="00553B37">
              <w:rPr>
                <w:noProof/>
                <w:webHidden/>
              </w:rPr>
            </w:r>
            <w:r w:rsidR="00553B37" w:rsidRPr="00553B37">
              <w:rPr>
                <w:noProof/>
                <w:webHidden/>
              </w:rPr>
              <w:fldChar w:fldCharType="separate"/>
            </w:r>
            <w:r w:rsidR="00553B37" w:rsidRPr="00553B37">
              <w:rPr>
                <w:noProof/>
                <w:webHidden/>
              </w:rPr>
              <w:t>53</w:t>
            </w:r>
            <w:r w:rsidR="00553B37" w:rsidRPr="00553B37">
              <w:rPr>
                <w:noProof/>
                <w:webHidden/>
              </w:rPr>
              <w:fldChar w:fldCharType="end"/>
            </w:r>
          </w:hyperlink>
        </w:p>
        <w:p w14:paraId="6B3C59F5" w14:textId="77777777" w:rsidR="00553B37" w:rsidRPr="00553B37" w:rsidRDefault="00A81FC8" w:rsidP="00553B37">
          <w:pPr>
            <w:pStyle w:val="TM3"/>
            <w:rPr>
              <w:rFonts w:eastAsiaTheme="minorEastAsia"/>
              <w:noProof/>
              <w:lang w:eastAsia="fr-FR"/>
            </w:rPr>
          </w:pPr>
          <w:hyperlink w:anchor="_Toc518468083" w:history="1">
            <w:r w:rsidR="00553B37" w:rsidRPr="00553B37">
              <w:rPr>
                <w:rStyle w:val="Lienhypertexte"/>
                <w:rFonts w:ascii="Times New Roman" w:hAnsi="Times New Roman"/>
                <w:noProof/>
                <w:sz w:val="20"/>
              </w:rPr>
              <w:t>2.</w:t>
            </w:r>
            <w:r w:rsidR="00553B37" w:rsidRPr="00553B37">
              <w:rPr>
                <w:rFonts w:eastAsiaTheme="minorEastAsia"/>
                <w:noProof/>
                <w:lang w:eastAsia="fr-FR"/>
              </w:rPr>
              <w:tab/>
            </w:r>
            <w:r w:rsidR="00553B37" w:rsidRPr="00553B37">
              <w:rPr>
                <w:rStyle w:val="Lienhypertexte"/>
                <w:rFonts w:ascii="Times New Roman" w:hAnsi="Times New Roman"/>
                <w:noProof/>
                <w:sz w:val="20"/>
              </w:rPr>
              <w:t>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_Toc518468083 \h </w:instrText>
            </w:r>
            <w:r w:rsidR="00553B37" w:rsidRPr="00553B37">
              <w:rPr>
                <w:noProof/>
                <w:webHidden/>
              </w:rPr>
            </w:r>
            <w:r w:rsidR="00553B37" w:rsidRPr="00553B37">
              <w:rPr>
                <w:noProof/>
                <w:webHidden/>
              </w:rPr>
              <w:fldChar w:fldCharType="separate"/>
            </w:r>
            <w:r w:rsidR="00553B37" w:rsidRPr="00553B37">
              <w:rPr>
                <w:noProof/>
                <w:webHidden/>
              </w:rPr>
              <w:t>53</w:t>
            </w:r>
            <w:r w:rsidR="00553B37" w:rsidRPr="00553B37">
              <w:rPr>
                <w:noProof/>
                <w:webHidden/>
              </w:rPr>
              <w:fldChar w:fldCharType="end"/>
            </w:r>
          </w:hyperlink>
        </w:p>
        <w:p w14:paraId="05540937" w14:textId="77777777" w:rsidR="00553B37" w:rsidRPr="00553B37" w:rsidRDefault="00A81FC8" w:rsidP="00553B37">
          <w:pPr>
            <w:pStyle w:val="TM2"/>
            <w:rPr>
              <w:rFonts w:eastAsiaTheme="minorEastAsia"/>
              <w:noProof/>
              <w:lang w:eastAsia="fr-FR"/>
            </w:rPr>
          </w:pPr>
          <w:hyperlink w:anchor="_Toc518468084" w:history="1">
            <w:r w:rsidR="00553B37" w:rsidRPr="00553B37">
              <w:rPr>
                <w:rStyle w:val="Lienhypertexte"/>
                <w:rFonts w:ascii="Times New Roman" w:hAnsi="Times New Roman"/>
                <w:noProof/>
                <w:sz w:val="20"/>
              </w:rPr>
              <w:t>VI.2. Activité d’exploration</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_Toc518468084 \h </w:instrText>
            </w:r>
            <w:r w:rsidR="00553B37" w:rsidRPr="00553B37">
              <w:rPr>
                <w:noProof/>
                <w:webHidden/>
              </w:rPr>
            </w:r>
            <w:r w:rsidR="00553B37" w:rsidRPr="00553B37">
              <w:rPr>
                <w:noProof/>
                <w:webHidden/>
              </w:rPr>
              <w:fldChar w:fldCharType="separate"/>
            </w:r>
            <w:r w:rsidR="00553B37" w:rsidRPr="00553B37">
              <w:rPr>
                <w:noProof/>
                <w:webHidden/>
              </w:rPr>
              <w:t>54</w:t>
            </w:r>
            <w:r w:rsidR="00553B37" w:rsidRPr="00553B37">
              <w:rPr>
                <w:noProof/>
                <w:webHidden/>
              </w:rPr>
              <w:fldChar w:fldCharType="end"/>
            </w:r>
          </w:hyperlink>
        </w:p>
        <w:p w14:paraId="03F2242D" w14:textId="77777777" w:rsidR="00553B37" w:rsidRPr="00553B37" w:rsidRDefault="00A81FC8" w:rsidP="00553B37">
          <w:pPr>
            <w:pStyle w:val="TM3"/>
            <w:rPr>
              <w:rFonts w:eastAsiaTheme="minorEastAsia"/>
              <w:noProof/>
              <w:lang w:eastAsia="fr-FR"/>
            </w:rPr>
          </w:pPr>
          <w:hyperlink w:anchor="_Toc518468085" w:history="1">
            <w:r w:rsidR="00553B37" w:rsidRPr="00553B37">
              <w:rPr>
                <w:rStyle w:val="Lienhypertexte"/>
                <w:rFonts w:ascii="Times New Roman" w:hAnsi="Times New Roman"/>
                <w:noProof/>
                <w:sz w:val="20"/>
              </w:rPr>
              <w:t>1.</w:t>
            </w:r>
            <w:r w:rsidR="00553B37" w:rsidRPr="00553B37">
              <w:rPr>
                <w:rFonts w:eastAsiaTheme="minorEastAsia"/>
                <w:noProof/>
                <w:lang w:eastAsia="fr-FR"/>
              </w:rPr>
              <w:tab/>
            </w:r>
            <w:r w:rsidR="00553B37" w:rsidRPr="00553B37">
              <w:rPr>
                <w:rStyle w:val="Lienhypertexte"/>
                <w:rFonts w:ascii="Times New Roman" w:hAnsi="Times New Roman"/>
                <w:noProof/>
                <w:sz w:val="20"/>
              </w:rPr>
              <w:t>Secteur pétrolier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_Toc518468085 \h </w:instrText>
            </w:r>
            <w:r w:rsidR="00553B37" w:rsidRPr="00553B37">
              <w:rPr>
                <w:noProof/>
                <w:webHidden/>
              </w:rPr>
            </w:r>
            <w:r w:rsidR="00553B37" w:rsidRPr="00553B37">
              <w:rPr>
                <w:noProof/>
                <w:webHidden/>
              </w:rPr>
              <w:fldChar w:fldCharType="separate"/>
            </w:r>
            <w:r w:rsidR="00553B37" w:rsidRPr="00553B37">
              <w:rPr>
                <w:noProof/>
                <w:webHidden/>
              </w:rPr>
              <w:t>54</w:t>
            </w:r>
            <w:r w:rsidR="00553B37" w:rsidRPr="00553B37">
              <w:rPr>
                <w:noProof/>
                <w:webHidden/>
              </w:rPr>
              <w:fldChar w:fldCharType="end"/>
            </w:r>
          </w:hyperlink>
        </w:p>
        <w:p w14:paraId="7B6297BA" w14:textId="77777777" w:rsidR="00553B37" w:rsidRPr="00553B37" w:rsidRDefault="00A81FC8" w:rsidP="00553B37">
          <w:pPr>
            <w:pStyle w:val="TM3"/>
            <w:rPr>
              <w:rFonts w:eastAsiaTheme="minorEastAsia"/>
              <w:noProof/>
              <w:lang w:eastAsia="fr-FR"/>
            </w:rPr>
          </w:pPr>
          <w:hyperlink w:anchor="_Toc518468086" w:history="1">
            <w:r w:rsidR="00553B37" w:rsidRPr="00553B37">
              <w:rPr>
                <w:rStyle w:val="Lienhypertexte"/>
                <w:rFonts w:ascii="Times New Roman" w:hAnsi="Times New Roman"/>
                <w:noProof/>
                <w:sz w:val="20"/>
              </w:rPr>
              <w:t>2.</w:t>
            </w:r>
            <w:r w:rsidR="00553B37" w:rsidRPr="00553B37">
              <w:rPr>
                <w:rFonts w:eastAsiaTheme="minorEastAsia"/>
                <w:noProof/>
                <w:lang w:eastAsia="fr-FR"/>
              </w:rPr>
              <w:tab/>
            </w:r>
            <w:r w:rsidR="00553B37" w:rsidRPr="00553B37">
              <w:rPr>
                <w:rStyle w:val="Lienhypertexte"/>
                <w:rFonts w:ascii="Times New Roman" w:hAnsi="Times New Roman"/>
                <w:noProof/>
                <w:sz w:val="20"/>
              </w:rPr>
              <w:t>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_Toc518468086 \h </w:instrText>
            </w:r>
            <w:r w:rsidR="00553B37" w:rsidRPr="00553B37">
              <w:rPr>
                <w:noProof/>
                <w:webHidden/>
              </w:rPr>
            </w:r>
            <w:r w:rsidR="00553B37" w:rsidRPr="00553B37">
              <w:rPr>
                <w:noProof/>
                <w:webHidden/>
              </w:rPr>
              <w:fldChar w:fldCharType="separate"/>
            </w:r>
            <w:r w:rsidR="00553B37" w:rsidRPr="00553B37">
              <w:rPr>
                <w:noProof/>
                <w:webHidden/>
              </w:rPr>
              <w:t>55</w:t>
            </w:r>
            <w:r w:rsidR="00553B37" w:rsidRPr="00553B37">
              <w:rPr>
                <w:noProof/>
                <w:webHidden/>
              </w:rPr>
              <w:fldChar w:fldCharType="end"/>
            </w:r>
          </w:hyperlink>
        </w:p>
        <w:p w14:paraId="1063C26B" w14:textId="77777777" w:rsidR="00553B37" w:rsidRPr="00553B37" w:rsidRDefault="00A81FC8" w:rsidP="00553B37">
          <w:pPr>
            <w:pStyle w:val="TM2"/>
            <w:rPr>
              <w:rFonts w:eastAsiaTheme="minorEastAsia"/>
              <w:noProof/>
              <w:lang w:eastAsia="fr-FR"/>
            </w:rPr>
          </w:pPr>
          <w:hyperlink w:anchor="_Toc518468087" w:history="1">
            <w:r w:rsidR="00553B37" w:rsidRPr="00553B37">
              <w:rPr>
                <w:rStyle w:val="Lienhypertexte"/>
                <w:rFonts w:ascii="Times New Roman" w:hAnsi="Times New Roman"/>
                <w:noProof/>
                <w:sz w:val="20"/>
              </w:rPr>
              <w:t>VI.3. La production et les exportations du secteur extractif</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_Toc518468087 \h </w:instrText>
            </w:r>
            <w:r w:rsidR="00553B37" w:rsidRPr="00553B37">
              <w:rPr>
                <w:noProof/>
                <w:webHidden/>
              </w:rPr>
            </w:r>
            <w:r w:rsidR="00553B37" w:rsidRPr="00553B37">
              <w:rPr>
                <w:noProof/>
                <w:webHidden/>
              </w:rPr>
              <w:fldChar w:fldCharType="separate"/>
            </w:r>
            <w:r w:rsidR="00553B37" w:rsidRPr="00553B37">
              <w:rPr>
                <w:noProof/>
                <w:webHidden/>
              </w:rPr>
              <w:t>56</w:t>
            </w:r>
            <w:r w:rsidR="00553B37" w:rsidRPr="00553B37">
              <w:rPr>
                <w:noProof/>
                <w:webHidden/>
              </w:rPr>
              <w:fldChar w:fldCharType="end"/>
            </w:r>
          </w:hyperlink>
        </w:p>
        <w:p w14:paraId="5E26427C" w14:textId="77777777" w:rsidR="00553B37" w:rsidRPr="00553B37" w:rsidRDefault="00A81FC8" w:rsidP="00553B37">
          <w:pPr>
            <w:pStyle w:val="TM3"/>
            <w:rPr>
              <w:rFonts w:eastAsiaTheme="minorEastAsia"/>
              <w:noProof/>
              <w:lang w:eastAsia="fr-FR"/>
            </w:rPr>
          </w:pPr>
          <w:hyperlink w:anchor="_Toc518468088" w:history="1">
            <w:r w:rsidR="00553B37" w:rsidRPr="00553B37">
              <w:rPr>
                <w:rStyle w:val="Lienhypertexte"/>
                <w:rFonts w:ascii="Times New Roman" w:hAnsi="Times New Roman"/>
                <w:noProof/>
                <w:sz w:val="20"/>
              </w:rPr>
              <w:t>3.1.  Secteur des Hydrocarbures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_Toc518468088 \h </w:instrText>
            </w:r>
            <w:r w:rsidR="00553B37" w:rsidRPr="00553B37">
              <w:rPr>
                <w:noProof/>
                <w:webHidden/>
              </w:rPr>
            </w:r>
            <w:r w:rsidR="00553B37" w:rsidRPr="00553B37">
              <w:rPr>
                <w:noProof/>
                <w:webHidden/>
              </w:rPr>
              <w:fldChar w:fldCharType="separate"/>
            </w:r>
            <w:r w:rsidR="00553B37" w:rsidRPr="00553B37">
              <w:rPr>
                <w:noProof/>
                <w:webHidden/>
              </w:rPr>
              <w:t>56</w:t>
            </w:r>
            <w:r w:rsidR="00553B37" w:rsidRPr="00553B37">
              <w:rPr>
                <w:noProof/>
                <w:webHidden/>
              </w:rPr>
              <w:fldChar w:fldCharType="end"/>
            </w:r>
          </w:hyperlink>
        </w:p>
        <w:p w14:paraId="7CD1710D" w14:textId="77777777" w:rsidR="00553B37" w:rsidRPr="00553B37" w:rsidRDefault="00A81FC8" w:rsidP="00553B37">
          <w:pPr>
            <w:pStyle w:val="TM3"/>
            <w:rPr>
              <w:rFonts w:eastAsiaTheme="minorEastAsia"/>
              <w:noProof/>
              <w:lang w:eastAsia="fr-FR"/>
            </w:rPr>
          </w:pPr>
          <w:hyperlink w:anchor="_Toc518468089" w:history="1">
            <w:r w:rsidR="00553B37" w:rsidRPr="00553B37">
              <w:rPr>
                <w:rStyle w:val="Lienhypertexte"/>
                <w:rFonts w:ascii="Times New Roman" w:hAnsi="Times New Roman"/>
                <w:noProof/>
                <w:sz w:val="20"/>
              </w:rPr>
              <w:t>3.2. Secteur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_Toc518468089 \h </w:instrText>
            </w:r>
            <w:r w:rsidR="00553B37" w:rsidRPr="00553B37">
              <w:rPr>
                <w:noProof/>
                <w:webHidden/>
              </w:rPr>
            </w:r>
            <w:r w:rsidR="00553B37" w:rsidRPr="00553B37">
              <w:rPr>
                <w:noProof/>
                <w:webHidden/>
              </w:rPr>
              <w:fldChar w:fldCharType="separate"/>
            </w:r>
            <w:r w:rsidR="00553B37" w:rsidRPr="00553B37">
              <w:rPr>
                <w:noProof/>
                <w:webHidden/>
              </w:rPr>
              <w:t>57</w:t>
            </w:r>
            <w:r w:rsidR="00553B37" w:rsidRPr="00553B37">
              <w:rPr>
                <w:noProof/>
                <w:webHidden/>
              </w:rPr>
              <w:fldChar w:fldCharType="end"/>
            </w:r>
          </w:hyperlink>
        </w:p>
        <w:p w14:paraId="09EAF00B" w14:textId="77777777" w:rsidR="00553B37" w:rsidRPr="00553B37" w:rsidRDefault="00A81FC8">
          <w:pPr>
            <w:pStyle w:val="TM1"/>
            <w:rPr>
              <w:rFonts w:ascii="Times New Roman" w:eastAsiaTheme="minorEastAsia" w:hAnsi="Times New Roman" w:cs="Times New Roman"/>
              <w:noProof/>
              <w:sz w:val="20"/>
              <w:lang w:eastAsia="fr-FR"/>
            </w:rPr>
          </w:pPr>
          <w:hyperlink w:anchor="_Toc518468090" w:history="1">
            <w:r w:rsidR="00553B37" w:rsidRPr="00553B37">
              <w:rPr>
                <w:rStyle w:val="Lienhypertexte"/>
                <w:rFonts w:ascii="Times New Roman" w:hAnsi="Times New Roman"/>
                <w:noProof/>
                <w:sz w:val="20"/>
              </w:rPr>
              <w:t>VII.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TRANSFERTS INFRANATIONAUX</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_Toc518468090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60</w:t>
            </w:r>
            <w:r w:rsidR="00553B37" w:rsidRPr="00553B37">
              <w:rPr>
                <w:rFonts w:ascii="Times New Roman" w:hAnsi="Times New Roman" w:cs="Times New Roman"/>
                <w:noProof/>
                <w:webHidden/>
                <w:sz w:val="20"/>
              </w:rPr>
              <w:fldChar w:fldCharType="end"/>
            </w:r>
          </w:hyperlink>
        </w:p>
        <w:p w14:paraId="15079444" w14:textId="77777777" w:rsidR="00553B37" w:rsidRPr="00553B37" w:rsidRDefault="00A81FC8" w:rsidP="00553B37">
          <w:pPr>
            <w:pStyle w:val="TM2"/>
            <w:rPr>
              <w:rFonts w:eastAsiaTheme="minorEastAsia"/>
              <w:noProof/>
              <w:lang w:eastAsia="fr-FR"/>
            </w:rPr>
          </w:pPr>
          <w:hyperlink w:anchor="_Toc518468091" w:history="1">
            <w:r w:rsidR="00553B37" w:rsidRPr="00553B37">
              <w:rPr>
                <w:rStyle w:val="Lienhypertexte"/>
                <w:rFonts w:ascii="Times New Roman" w:hAnsi="Times New Roman"/>
                <w:noProof/>
                <w:sz w:val="20"/>
              </w:rPr>
              <w:t>VII.1. De la législation sur les transferts infranationaux</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_Toc518468091 \h </w:instrText>
            </w:r>
            <w:r w:rsidR="00553B37" w:rsidRPr="00553B37">
              <w:rPr>
                <w:noProof/>
                <w:webHidden/>
              </w:rPr>
            </w:r>
            <w:r w:rsidR="00553B37" w:rsidRPr="00553B37">
              <w:rPr>
                <w:noProof/>
                <w:webHidden/>
              </w:rPr>
              <w:fldChar w:fldCharType="separate"/>
            </w:r>
            <w:r w:rsidR="00553B37" w:rsidRPr="00553B37">
              <w:rPr>
                <w:noProof/>
                <w:webHidden/>
              </w:rPr>
              <w:t>60</w:t>
            </w:r>
            <w:r w:rsidR="00553B37" w:rsidRPr="00553B37">
              <w:rPr>
                <w:noProof/>
                <w:webHidden/>
              </w:rPr>
              <w:fldChar w:fldCharType="end"/>
            </w:r>
          </w:hyperlink>
        </w:p>
        <w:p w14:paraId="5ECFA601" w14:textId="77777777" w:rsidR="00553B37" w:rsidRPr="00553B37" w:rsidRDefault="00A81FC8" w:rsidP="00553B37">
          <w:pPr>
            <w:pStyle w:val="TM2"/>
            <w:rPr>
              <w:rFonts w:eastAsiaTheme="minorEastAsia"/>
              <w:noProof/>
              <w:lang w:eastAsia="fr-FR"/>
            </w:rPr>
          </w:pPr>
          <w:hyperlink w:anchor="_Toc518468092" w:history="1">
            <w:r w:rsidR="00553B37" w:rsidRPr="00553B37">
              <w:rPr>
                <w:rStyle w:val="Lienhypertexte"/>
                <w:rFonts w:ascii="Times New Roman" w:hAnsi="Times New Roman"/>
                <w:noProof/>
                <w:sz w:val="20"/>
              </w:rPr>
              <w:t>VII.2. De la pratique des transferts infranationaux</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_Toc518468092 \h </w:instrText>
            </w:r>
            <w:r w:rsidR="00553B37" w:rsidRPr="00553B37">
              <w:rPr>
                <w:noProof/>
                <w:webHidden/>
              </w:rPr>
            </w:r>
            <w:r w:rsidR="00553B37" w:rsidRPr="00553B37">
              <w:rPr>
                <w:noProof/>
                <w:webHidden/>
              </w:rPr>
              <w:fldChar w:fldCharType="separate"/>
            </w:r>
            <w:r w:rsidR="00553B37" w:rsidRPr="00553B37">
              <w:rPr>
                <w:noProof/>
                <w:webHidden/>
              </w:rPr>
              <w:t>61</w:t>
            </w:r>
            <w:r w:rsidR="00553B37" w:rsidRPr="00553B37">
              <w:rPr>
                <w:noProof/>
                <w:webHidden/>
              </w:rPr>
              <w:fldChar w:fldCharType="end"/>
            </w:r>
          </w:hyperlink>
        </w:p>
        <w:p w14:paraId="5F206222" w14:textId="77777777" w:rsidR="00553B37" w:rsidRPr="00553B37" w:rsidRDefault="00A81FC8">
          <w:pPr>
            <w:pStyle w:val="TM1"/>
            <w:rPr>
              <w:rFonts w:ascii="Times New Roman" w:eastAsiaTheme="minorEastAsia" w:hAnsi="Times New Roman" w:cs="Times New Roman"/>
              <w:noProof/>
              <w:sz w:val="20"/>
              <w:lang w:eastAsia="fr-FR"/>
            </w:rPr>
          </w:pPr>
          <w:hyperlink w:anchor="_Toc518468093" w:history="1">
            <w:r w:rsidR="00553B37" w:rsidRPr="00553B37">
              <w:rPr>
                <w:rStyle w:val="Lienhypertexte"/>
                <w:rFonts w:ascii="Times New Roman" w:hAnsi="Times New Roman"/>
                <w:noProof/>
                <w:sz w:val="20"/>
              </w:rPr>
              <w:t>VIII.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CONTRIBUTION SOCIALE ET ECONOMIQUE DU SECTEUR EXTRACTIF</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_Toc518468093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63</w:t>
            </w:r>
            <w:r w:rsidR="00553B37" w:rsidRPr="00553B37">
              <w:rPr>
                <w:rFonts w:ascii="Times New Roman" w:hAnsi="Times New Roman" w:cs="Times New Roman"/>
                <w:noProof/>
                <w:webHidden/>
                <w:sz w:val="20"/>
              </w:rPr>
              <w:fldChar w:fldCharType="end"/>
            </w:r>
          </w:hyperlink>
        </w:p>
        <w:p w14:paraId="78619029" w14:textId="77777777" w:rsidR="00553B37" w:rsidRPr="00553B37" w:rsidRDefault="00A81FC8" w:rsidP="00553B37">
          <w:pPr>
            <w:pStyle w:val="TM2"/>
            <w:rPr>
              <w:rFonts w:eastAsiaTheme="minorEastAsia"/>
              <w:noProof/>
              <w:lang w:eastAsia="fr-FR"/>
            </w:rPr>
          </w:pPr>
          <w:hyperlink w:anchor="_Toc518468094" w:history="1">
            <w:r w:rsidR="00553B37" w:rsidRPr="00553B37">
              <w:rPr>
                <w:rStyle w:val="Lienhypertexte"/>
                <w:rFonts w:ascii="Times New Roman" w:hAnsi="Times New Roman"/>
                <w:noProof/>
                <w:sz w:val="20"/>
              </w:rPr>
              <w:t>VIII.1. Dépense sociale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_Toc518468094 \h </w:instrText>
            </w:r>
            <w:r w:rsidR="00553B37" w:rsidRPr="00553B37">
              <w:rPr>
                <w:noProof/>
                <w:webHidden/>
              </w:rPr>
            </w:r>
            <w:r w:rsidR="00553B37" w:rsidRPr="00553B37">
              <w:rPr>
                <w:noProof/>
                <w:webHidden/>
              </w:rPr>
              <w:fldChar w:fldCharType="separate"/>
            </w:r>
            <w:r w:rsidR="00553B37" w:rsidRPr="00553B37">
              <w:rPr>
                <w:noProof/>
                <w:webHidden/>
              </w:rPr>
              <w:t>63</w:t>
            </w:r>
            <w:r w:rsidR="00553B37" w:rsidRPr="00553B37">
              <w:rPr>
                <w:noProof/>
                <w:webHidden/>
              </w:rPr>
              <w:fldChar w:fldCharType="end"/>
            </w:r>
          </w:hyperlink>
        </w:p>
        <w:p w14:paraId="51E45E9E" w14:textId="77777777" w:rsidR="00553B37" w:rsidRPr="00553B37" w:rsidRDefault="00A81FC8" w:rsidP="00553B37">
          <w:pPr>
            <w:pStyle w:val="TM2"/>
            <w:rPr>
              <w:rFonts w:eastAsiaTheme="minorEastAsia"/>
              <w:noProof/>
              <w:lang w:eastAsia="fr-FR"/>
            </w:rPr>
          </w:pPr>
          <w:hyperlink w:anchor="_Toc518468095" w:history="1">
            <w:r w:rsidR="00553B37" w:rsidRPr="00553B37">
              <w:rPr>
                <w:rStyle w:val="Lienhypertexte"/>
                <w:rFonts w:ascii="Times New Roman" w:hAnsi="Times New Roman"/>
                <w:noProof/>
                <w:sz w:val="20"/>
              </w:rPr>
              <w:t>VIII.2. Contribution du secteur extractif au PIB</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_Toc518468095 \h </w:instrText>
            </w:r>
            <w:r w:rsidR="00553B37" w:rsidRPr="00553B37">
              <w:rPr>
                <w:noProof/>
                <w:webHidden/>
              </w:rPr>
            </w:r>
            <w:r w:rsidR="00553B37" w:rsidRPr="00553B37">
              <w:rPr>
                <w:noProof/>
                <w:webHidden/>
              </w:rPr>
              <w:fldChar w:fldCharType="separate"/>
            </w:r>
            <w:r w:rsidR="00553B37" w:rsidRPr="00553B37">
              <w:rPr>
                <w:noProof/>
                <w:webHidden/>
              </w:rPr>
              <w:t>66</w:t>
            </w:r>
            <w:r w:rsidR="00553B37" w:rsidRPr="00553B37">
              <w:rPr>
                <w:noProof/>
                <w:webHidden/>
              </w:rPr>
              <w:fldChar w:fldCharType="end"/>
            </w:r>
          </w:hyperlink>
        </w:p>
        <w:p w14:paraId="410EB8A0" w14:textId="77777777" w:rsidR="00553B37" w:rsidRPr="00553B37" w:rsidRDefault="00A81FC8" w:rsidP="00553B37">
          <w:pPr>
            <w:pStyle w:val="TM2"/>
            <w:rPr>
              <w:rFonts w:eastAsiaTheme="minorEastAsia"/>
              <w:noProof/>
              <w:lang w:eastAsia="fr-FR"/>
            </w:rPr>
          </w:pPr>
          <w:hyperlink w:anchor="_Toc518468096" w:history="1">
            <w:r w:rsidR="00553B37" w:rsidRPr="00553B37">
              <w:rPr>
                <w:rStyle w:val="Lienhypertexte"/>
                <w:rFonts w:ascii="Times New Roman" w:hAnsi="Times New Roman"/>
                <w:noProof/>
                <w:sz w:val="20"/>
              </w:rPr>
              <w:t>VIII.3. Contribution au budget de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_Toc518468096 \h </w:instrText>
            </w:r>
            <w:r w:rsidR="00553B37" w:rsidRPr="00553B37">
              <w:rPr>
                <w:noProof/>
                <w:webHidden/>
              </w:rPr>
            </w:r>
            <w:r w:rsidR="00553B37" w:rsidRPr="00553B37">
              <w:rPr>
                <w:noProof/>
                <w:webHidden/>
              </w:rPr>
              <w:fldChar w:fldCharType="separate"/>
            </w:r>
            <w:r w:rsidR="00553B37" w:rsidRPr="00553B37">
              <w:rPr>
                <w:noProof/>
                <w:webHidden/>
              </w:rPr>
              <w:t>67</w:t>
            </w:r>
            <w:r w:rsidR="00553B37" w:rsidRPr="00553B37">
              <w:rPr>
                <w:noProof/>
                <w:webHidden/>
              </w:rPr>
              <w:fldChar w:fldCharType="end"/>
            </w:r>
          </w:hyperlink>
        </w:p>
        <w:p w14:paraId="6CCDBB2C" w14:textId="77777777" w:rsidR="00553B37" w:rsidRPr="00553B37" w:rsidRDefault="00A81FC8" w:rsidP="00553B37">
          <w:pPr>
            <w:pStyle w:val="TM2"/>
            <w:rPr>
              <w:rFonts w:eastAsiaTheme="minorEastAsia"/>
              <w:noProof/>
              <w:lang w:eastAsia="fr-FR"/>
            </w:rPr>
          </w:pPr>
          <w:hyperlink w:anchor="_Toc518468097" w:history="1">
            <w:r w:rsidR="00553B37" w:rsidRPr="00553B37">
              <w:rPr>
                <w:rStyle w:val="Lienhypertexte"/>
                <w:rFonts w:ascii="Times New Roman" w:hAnsi="Times New Roman"/>
                <w:noProof/>
                <w:sz w:val="20"/>
              </w:rPr>
              <w:t>VIII.4. Contribution du secteur extractif aux exportations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_Toc518468097 \h </w:instrText>
            </w:r>
            <w:r w:rsidR="00553B37" w:rsidRPr="00553B37">
              <w:rPr>
                <w:noProof/>
                <w:webHidden/>
              </w:rPr>
            </w:r>
            <w:r w:rsidR="00553B37" w:rsidRPr="00553B37">
              <w:rPr>
                <w:noProof/>
                <w:webHidden/>
              </w:rPr>
              <w:fldChar w:fldCharType="separate"/>
            </w:r>
            <w:r w:rsidR="00553B37" w:rsidRPr="00553B37">
              <w:rPr>
                <w:noProof/>
                <w:webHidden/>
              </w:rPr>
              <w:t>67</w:t>
            </w:r>
            <w:r w:rsidR="00553B37" w:rsidRPr="00553B37">
              <w:rPr>
                <w:noProof/>
                <w:webHidden/>
              </w:rPr>
              <w:fldChar w:fldCharType="end"/>
            </w:r>
          </w:hyperlink>
        </w:p>
        <w:p w14:paraId="2B927A27" w14:textId="77777777" w:rsidR="00553B37" w:rsidRPr="00553B37" w:rsidRDefault="00A81FC8" w:rsidP="00553B37">
          <w:pPr>
            <w:pStyle w:val="TM2"/>
            <w:rPr>
              <w:rFonts w:eastAsiaTheme="minorEastAsia"/>
              <w:noProof/>
              <w:lang w:eastAsia="fr-FR"/>
            </w:rPr>
          </w:pPr>
          <w:hyperlink w:anchor="_Toc518468098" w:history="1">
            <w:r w:rsidR="00553B37" w:rsidRPr="00553B37">
              <w:rPr>
                <w:rStyle w:val="Lienhypertexte"/>
                <w:rFonts w:ascii="Times New Roman" w:hAnsi="Times New Roman"/>
                <w:noProof/>
                <w:sz w:val="20"/>
              </w:rPr>
              <w:t>VIII.5. Contribution aux emplois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_Toc518468098 \h </w:instrText>
            </w:r>
            <w:r w:rsidR="00553B37" w:rsidRPr="00553B37">
              <w:rPr>
                <w:noProof/>
                <w:webHidden/>
              </w:rPr>
            </w:r>
            <w:r w:rsidR="00553B37" w:rsidRPr="00553B37">
              <w:rPr>
                <w:noProof/>
                <w:webHidden/>
              </w:rPr>
              <w:fldChar w:fldCharType="separate"/>
            </w:r>
            <w:r w:rsidR="00553B37" w:rsidRPr="00553B37">
              <w:rPr>
                <w:noProof/>
                <w:webHidden/>
              </w:rPr>
              <w:t>68</w:t>
            </w:r>
            <w:r w:rsidR="00553B37" w:rsidRPr="00553B37">
              <w:rPr>
                <w:noProof/>
                <w:webHidden/>
              </w:rPr>
              <w:fldChar w:fldCharType="end"/>
            </w:r>
          </w:hyperlink>
        </w:p>
        <w:p w14:paraId="2D64E4B0" w14:textId="77777777" w:rsidR="00553B37" w:rsidRPr="00553B37" w:rsidRDefault="00A81FC8" w:rsidP="00553B37">
          <w:pPr>
            <w:pStyle w:val="TM2"/>
            <w:rPr>
              <w:rFonts w:eastAsiaTheme="minorEastAsia"/>
              <w:noProof/>
              <w:lang w:eastAsia="fr-FR"/>
            </w:rPr>
          </w:pPr>
          <w:hyperlink w:anchor="_Toc518468099" w:history="1">
            <w:r w:rsidR="00553B37" w:rsidRPr="00553B37">
              <w:rPr>
                <w:rStyle w:val="Lienhypertexte"/>
                <w:rFonts w:ascii="Times New Roman" w:hAnsi="Times New Roman"/>
                <w:noProof/>
                <w:sz w:val="20"/>
              </w:rPr>
              <w:t>VIII.6.  La production et zones d’extraction</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_Toc518468099 \h </w:instrText>
            </w:r>
            <w:r w:rsidR="00553B37" w:rsidRPr="00553B37">
              <w:rPr>
                <w:noProof/>
                <w:webHidden/>
              </w:rPr>
            </w:r>
            <w:r w:rsidR="00553B37" w:rsidRPr="00553B37">
              <w:rPr>
                <w:noProof/>
                <w:webHidden/>
              </w:rPr>
              <w:fldChar w:fldCharType="separate"/>
            </w:r>
            <w:r w:rsidR="00553B37" w:rsidRPr="00553B37">
              <w:rPr>
                <w:noProof/>
                <w:webHidden/>
              </w:rPr>
              <w:t>69</w:t>
            </w:r>
            <w:r w:rsidR="00553B37" w:rsidRPr="00553B37">
              <w:rPr>
                <w:noProof/>
                <w:webHidden/>
              </w:rPr>
              <w:fldChar w:fldCharType="end"/>
            </w:r>
          </w:hyperlink>
        </w:p>
        <w:p w14:paraId="12A60876" w14:textId="77777777" w:rsidR="00553B37" w:rsidRPr="00553B37" w:rsidRDefault="00A81FC8" w:rsidP="00553B37">
          <w:pPr>
            <w:pStyle w:val="TM2"/>
            <w:rPr>
              <w:rFonts w:eastAsiaTheme="minorEastAsia"/>
              <w:noProof/>
              <w:lang w:eastAsia="fr-FR"/>
            </w:rPr>
          </w:pPr>
          <w:hyperlink w:anchor="_Toc518468100" w:history="1">
            <w:r w:rsidR="00553B37" w:rsidRPr="00553B37">
              <w:rPr>
                <w:rStyle w:val="Lienhypertexte"/>
                <w:rFonts w:ascii="Times New Roman" w:hAnsi="Times New Roman"/>
                <w:noProof/>
                <w:sz w:val="20"/>
              </w:rPr>
              <w:t>VIII.7. Contribution de l’artisanat minier</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_Toc518468100 \h </w:instrText>
            </w:r>
            <w:r w:rsidR="00553B37" w:rsidRPr="00553B37">
              <w:rPr>
                <w:noProof/>
                <w:webHidden/>
              </w:rPr>
            </w:r>
            <w:r w:rsidR="00553B37" w:rsidRPr="00553B37">
              <w:rPr>
                <w:noProof/>
                <w:webHidden/>
              </w:rPr>
              <w:fldChar w:fldCharType="separate"/>
            </w:r>
            <w:r w:rsidR="00553B37" w:rsidRPr="00553B37">
              <w:rPr>
                <w:noProof/>
                <w:webHidden/>
              </w:rPr>
              <w:t>69</w:t>
            </w:r>
            <w:r w:rsidR="00553B37" w:rsidRPr="00553B37">
              <w:rPr>
                <w:noProof/>
                <w:webHidden/>
              </w:rPr>
              <w:fldChar w:fldCharType="end"/>
            </w:r>
          </w:hyperlink>
        </w:p>
        <w:p w14:paraId="069F4627" w14:textId="77777777" w:rsidR="00553B37" w:rsidRPr="00553B37" w:rsidRDefault="00A81FC8">
          <w:pPr>
            <w:pStyle w:val="TM1"/>
            <w:rPr>
              <w:rFonts w:ascii="Times New Roman" w:eastAsiaTheme="minorEastAsia" w:hAnsi="Times New Roman" w:cs="Times New Roman"/>
              <w:noProof/>
              <w:sz w:val="20"/>
              <w:lang w:eastAsia="fr-FR"/>
            </w:rPr>
          </w:pPr>
          <w:hyperlink w:anchor="_Toc518468101" w:history="1">
            <w:r w:rsidR="00553B37" w:rsidRPr="00553B37">
              <w:rPr>
                <w:rStyle w:val="Lienhypertexte"/>
                <w:rFonts w:ascii="Times New Roman" w:hAnsi="Times New Roman"/>
                <w:noProof/>
                <w:sz w:val="20"/>
              </w:rPr>
              <w:t>IX.</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PARTICIPATION DE L’ETAT ET SITUATION SPECIFIQUE DES  EPE</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_Toc518468101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71</w:t>
            </w:r>
            <w:r w:rsidR="00553B37" w:rsidRPr="00553B37">
              <w:rPr>
                <w:rFonts w:ascii="Times New Roman" w:hAnsi="Times New Roman" w:cs="Times New Roman"/>
                <w:noProof/>
                <w:webHidden/>
                <w:sz w:val="20"/>
              </w:rPr>
              <w:fldChar w:fldCharType="end"/>
            </w:r>
          </w:hyperlink>
        </w:p>
        <w:p w14:paraId="2752EAE2" w14:textId="77777777" w:rsidR="00553B37" w:rsidRPr="00553B37" w:rsidRDefault="00A81FC8" w:rsidP="00553B37">
          <w:pPr>
            <w:pStyle w:val="TM2"/>
            <w:rPr>
              <w:rFonts w:eastAsiaTheme="minorEastAsia"/>
              <w:noProof/>
              <w:lang w:eastAsia="fr-FR"/>
            </w:rPr>
          </w:pPr>
          <w:hyperlink w:anchor="_Toc518468102" w:history="1">
            <w:r w:rsidR="00553B37" w:rsidRPr="00553B37">
              <w:rPr>
                <w:rStyle w:val="Lienhypertexte"/>
                <w:rFonts w:ascii="Times New Roman" w:hAnsi="Times New Roman"/>
                <w:noProof/>
                <w:sz w:val="20"/>
              </w:rPr>
              <w:t>A.</w:t>
            </w:r>
            <w:r w:rsidR="00553B37" w:rsidRPr="00553B37">
              <w:rPr>
                <w:rFonts w:eastAsiaTheme="minorEastAsia"/>
                <w:noProof/>
                <w:lang w:eastAsia="fr-FR"/>
              </w:rPr>
              <w:tab/>
            </w:r>
            <w:r w:rsidR="00553B37" w:rsidRPr="00553B37">
              <w:rPr>
                <w:rStyle w:val="Lienhypertexte"/>
                <w:rFonts w:ascii="Times New Roman" w:hAnsi="Times New Roman"/>
                <w:noProof/>
                <w:sz w:val="20"/>
              </w:rPr>
              <w:t>Considérations générales sur la participation de l’Etat dans les industries extractives.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_Toc518468102 \h </w:instrText>
            </w:r>
            <w:r w:rsidR="00553B37" w:rsidRPr="00553B37">
              <w:rPr>
                <w:noProof/>
                <w:webHidden/>
              </w:rPr>
            </w:r>
            <w:r w:rsidR="00553B37" w:rsidRPr="00553B37">
              <w:rPr>
                <w:noProof/>
                <w:webHidden/>
              </w:rPr>
              <w:fldChar w:fldCharType="separate"/>
            </w:r>
            <w:r w:rsidR="00553B37" w:rsidRPr="00553B37">
              <w:rPr>
                <w:noProof/>
                <w:webHidden/>
              </w:rPr>
              <w:t>71</w:t>
            </w:r>
            <w:r w:rsidR="00553B37" w:rsidRPr="00553B37">
              <w:rPr>
                <w:noProof/>
                <w:webHidden/>
              </w:rPr>
              <w:fldChar w:fldCharType="end"/>
            </w:r>
          </w:hyperlink>
        </w:p>
        <w:p w14:paraId="3309BA17" w14:textId="77777777" w:rsidR="00553B37" w:rsidRPr="00553B37" w:rsidRDefault="00A81FC8" w:rsidP="00553B37">
          <w:pPr>
            <w:pStyle w:val="TM3"/>
            <w:rPr>
              <w:rFonts w:eastAsiaTheme="minorEastAsia"/>
              <w:noProof/>
              <w:lang w:eastAsia="fr-FR"/>
            </w:rPr>
          </w:pPr>
          <w:hyperlink w:anchor="_Toc518468103" w:history="1">
            <w:r w:rsidR="00553B37" w:rsidRPr="00553B37">
              <w:rPr>
                <w:rStyle w:val="Lienhypertexte"/>
                <w:rFonts w:ascii="Times New Roman" w:hAnsi="Times New Roman"/>
                <w:noProof/>
                <w:sz w:val="20"/>
              </w:rPr>
              <w:t>IX.1. De la définition de l’entreprise du portefeuille de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_Toc518468103 \h </w:instrText>
            </w:r>
            <w:r w:rsidR="00553B37" w:rsidRPr="00553B37">
              <w:rPr>
                <w:noProof/>
                <w:webHidden/>
              </w:rPr>
            </w:r>
            <w:r w:rsidR="00553B37" w:rsidRPr="00553B37">
              <w:rPr>
                <w:noProof/>
                <w:webHidden/>
              </w:rPr>
              <w:fldChar w:fldCharType="separate"/>
            </w:r>
            <w:r w:rsidR="00553B37" w:rsidRPr="00553B37">
              <w:rPr>
                <w:noProof/>
                <w:webHidden/>
              </w:rPr>
              <w:t>71</w:t>
            </w:r>
            <w:r w:rsidR="00553B37" w:rsidRPr="00553B37">
              <w:rPr>
                <w:noProof/>
                <w:webHidden/>
              </w:rPr>
              <w:fldChar w:fldCharType="end"/>
            </w:r>
          </w:hyperlink>
        </w:p>
        <w:p w14:paraId="1734E3F7" w14:textId="77777777" w:rsidR="00553B37" w:rsidRPr="00553B37" w:rsidRDefault="00A81FC8" w:rsidP="00553B37">
          <w:pPr>
            <w:pStyle w:val="TM3"/>
            <w:rPr>
              <w:rFonts w:eastAsiaTheme="minorEastAsia"/>
              <w:noProof/>
              <w:lang w:eastAsia="fr-FR"/>
            </w:rPr>
          </w:pPr>
          <w:hyperlink w:anchor="_Toc518468104" w:history="1">
            <w:r w:rsidR="00553B37" w:rsidRPr="00553B37">
              <w:rPr>
                <w:rStyle w:val="Lienhypertexte"/>
                <w:rFonts w:ascii="Times New Roman" w:hAnsi="Times New Roman"/>
                <w:noProof/>
                <w:sz w:val="20"/>
              </w:rPr>
              <w:t>IX.2. Du cadre légal et règlementaire de la participation de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_Toc518468104 \h </w:instrText>
            </w:r>
            <w:r w:rsidR="00553B37" w:rsidRPr="00553B37">
              <w:rPr>
                <w:noProof/>
                <w:webHidden/>
              </w:rPr>
            </w:r>
            <w:r w:rsidR="00553B37" w:rsidRPr="00553B37">
              <w:rPr>
                <w:noProof/>
                <w:webHidden/>
              </w:rPr>
              <w:fldChar w:fldCharType="separate"/>
            </w:r>
            <w:r w:rsidR="00553B37" w:rsidRPr="00553B37">
              <w:rPr>
                <w:noProof/>
                <w:webHidden/>
              </w:rPr>
              <w:t>72</w:t>
            </w:r>
            <w:r w:rsidR="00553B37" w:rsidRPr="00553B37">
              <w:rPr>
                <w:noProof/>
                <w:webHidden/>
              </w:rPr>
              <w:fldChar w:fldCharType="end"/>
            </w:r>
          </w:hyperlink>
        </w:p>
        <w:p w14:paraId="631A4BE0" w14:textId="77777777" w:rsidR="00553B37" w:rsidRPr="00553B37" w:rsidRDefault="00A81FC8" w:rsidP="00553B37">
          <w:pPr>
            <w:pStyle w:val="TM3"/>
            <w:rPr>
              <w:rFonts w:eastAsiaTheme="minorEastAsia"/>
              <w:noProof/>
              <w:lang w:eastAsia="fr-FR"/>
            </w:rPr>
          </w:pPr>
          <w:hyperlink w:anchor="_Toc518468105" w:history="1">
            <w:r w:rsidR="00553B37" w:rsidRPr="00553B37">
              <w:rPr>
                <w:rStyle w:val="Lienhypertexte"/>
                <w:rFonts w:ascii="Times New Roman" w:hAnsi="Times New Roman"/>
                <w:noProof/>
                <w:sz w:val="20"/>
              </w:rPr>
              <w:t>IX.3. Du régime fiscal  et du statut des EPE  extractives</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_Toc518468105 \h </w:instrText>
            </w:r>
            <w:r w:rsidR="00553B37" w:rsidRPr="00553B37">
              <w:rPr>
                <w:noProof/>
                <w:webHidden/>
              </w:rPr>
            </w:r>
            <w:r w:rsidR="00553B37" w:rsidRPr="00553B37">
              <w:rPr>
                <w:noProof/>
                <w:webHidden/>
              </w:rPr>
              <w:fldChar w:fldCharType="separate"/>
            </w:r>
            <w:r w:rsidR="00553B37" w:rsidRPr="00553B37">
              <w:rPr>
                <w:noProof/>
                <w:webHidden/>
              </w:rPr>
              <w:t>72</w:t>
            </w:r>
            <w:r w:rsidR="00553B37" w:rsidRPr="00553B37">
              <w:rPr>
                <w:noProof/>
                <w:webHidden/>
              </w:rPr>
              <w:fldChar w:fldCharType="end"/>
            </w:r>
          </w:hyperlink>
        </w:p>
        <w:p w14:paraId="02DDC5B7" w14:textId="77777777" w:rsidR="00553B37" w:rsidRPr="00553B37" w:rsidRDefault="00A81FC8" w:rsidP="00553B37">
          <w:pPr>
            <w:pStyle w:val="TM3"/>
            <w:rPr>
              <w:rFonts w:eastAsiaTheme="minorEastAsia"/>
              <w:noProof/>
              <w:lang w:eastAsia="fr-FR"/>
            </w:rPr>
          </w:pPr>
          <w:hyperlink w:anchor="_Toc518468106" w:history="1">
            <w:r w:rsidR="00553B37" w:rsidRPr="00553B37">
              <w:rPr>
                <w:rStyle w:val="Lienhypertexte"/>
                <w:rFonts w:ascii="Times New Roman" w:hAnsi="Times New Roman"/>
                <w:noProof/>
                <w:sz w:val="20"/>
              </w:rPr>
              <w:t>IX.4. Des relations  financières entre l’EPE et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_Toc518468106 \h </w:instrText>
            </w:r>
            <w:r w:rsidR="00553B37" w:rsidRPr="00553B37">
              <w:rPr>
                <w:noProof/>
                <w:webHidden/>
              </w:rPr>
            </w:r>
            <w:r w:rsidR="00553B37" w:rsidRPr="00553B37">
              <w:rPr>
                <w:noProof/>
                <w:webHidden/>
              </w:rPr>
              <w:fldChar w:fldCharType="separate"/>
            </w:r>
            <w:r w:rsidR="00553B37" w:rsidRPr="00553B37">
              <w:rPr>
                <w:noProof/>
                <w:webHidden/>
              </w:rPr>
              <w:t>73</w:t>
            </w:r>
            <w:r w:rsidR="00553B37" w:rsidRPr="00553B37">
              <w:rPr>
                <w:noProof/>
                <w:webHidden/>
              </w:rPr>
              <w:fldChar w:fldCharType="end"/>
            </w:r>
          </w:hyperlink>
        </w:p>
        <w:p w14:paraId="10F6C231" w14:textId="77777777" w:rsidR="00553B37" w:rsidRPr="00553B37" w:rsidRDefault="00A81FC8" w:rsidP="00553B37">
          <w:pPr>
            <w:pStyle w:val="TM3"/>
            <w:rPr>
              <w:rFonts w:eastAsiaTheme="minorEastAsia"/>
              <w:noProof/>
              <w:lang w:eastAsia="fr-FR"/>
            </w:rPr>
          </w:pPr>
          <w:hyperlink w:anchor="_Toc518468107" w:history="1">
            <w:r w:rsidR="00553B37" w:rsidRPr="00553B37">
              <w:rPr>
                <w:rStyle w:val="Lienhypertexte"/>
                <w:rFonts w:ascii="Times New Roman" w:hAnsi="Times New Roman"/>
                <w:noProof/>
                <w:sz w:val="20"/>
              </w:rPr>
              <w:t>IX.5. De  la participation directe et indirecte  de l’Etat en 2016</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_Toc518468107 \h </w:instrText>
            </w:r>
            <w:r w:rsidR="00553B37" w:rsidRPr="00553B37">
              <w:rPr>
                <w:noProof/>
                <w:webHidden/>
              </w:rPr>
            </w:r>
            <w:r w:rsidR="00553B37" w:rsidRPr="00553B37">
              <w:rPr>
                <w:noProof/>
                <w:webHidden/>
              </w:rPr>
              <w:fldChar w:fldCharType="separate"/>
            </w:r>
            <w:r w:rsidR="00553B37" w:rsidRPr="00553B37">
              <w:rPr>
                <w:noProof/>
                <w:webHidden/>
              </w:rPr>
              <w:t>76</w:t>
            </w:r>
            <w:r w:rsidR="00553B37" w:rsidRPr="00553B37">
              <w:rPr>
                <w:noProof/>
                <w:webHidden/>
              </w:rPr>
              <w:fldChar w:fldCharType="end"/>
            </w:r>
          </w:hyperlink>
        </w:p>
        <w:p w14:paraId="65849AEE" w14:textId="77777777" w:rsidR="00553B37" w:rsidRPr="00553B37" w:rsidRDefault="00A81FC8" w:rsidP="00553B37">
          <w:pPr>
            <w:pStyle w:val="TM2"/>
            <w:rPr>
              <w:rFonts w:eastAsiaTheme="minorEastAsia"/>
              <w:noProof/>
              <w:lang w:eastAsia="fr-FR"/>
            </w:rPr>
          </w:pPr>
          <w:hyperlink w:anchor="_Toc518468108" w:history="1">
            <w:r w:rsidR="00553B37" w:rsidRPr="00553B37">
              <w:rPr>
                <w:rStyle w:val="Lienhypertexte"/>
                <w:rFonts w:ascii="Times New Roman" w:hAnsi="Times New Roman"/>
                <w:noProof/>
                <w:sz w:val="20"/>
              </w:rPr>
              <w:t>B.</w:t>
            </w:r>
            <w:r w:rsidR="00553B37" w:rsidRPr="00553B37">
              <w:rPr>
                <w:rFonts w:eastAsiaTheme="minorEastAsia"/>
                <w:noProof/>
                <w:lang w:eastAsia="fr-FR"/>
              </w:rPr>
              <w:tab/>
            </w:r>
            <w:r w:rsidR="00553B37" w:rsidRPr="00553B37">
              <w:rPr>
                <w:rStyle w:val="Lienhypertexte"/>
                <w:rFonts w:ascii="Times New Roman" w:hAnsi="Times New Roman"/>
                <w:noProof/>
                <w:sz w:val="20"/>
              </w:rPr>
              <w:t>Considérations particulières sur les EPE.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_Toc518468108 \h </w:instrText>
            </w:r>
            <w:r w:rsidR="00553B37" w:rsidRPr="00553B37">
              <w:rPr>
                <w:noProof/>
                <w:webHidden/>
              </w:rPr>
            </w:r>
            <w:r w:rsidR="00553B37" w:rsidRPr="00553B37">
              <w:rPr>
                <w:noProof/>
                <w:webHidden/>
              </w:rPr>
              <w:fldChar w:fldCharType="separate"/>
            </w:r>
            <w:r w:rsidR="00553B37" w:rsidRPr="00553B37">
              <w:rPr>
                <w:noProof/>
                <w:webHidden/>
              </w:rPr>
              <w:t>81</w:t>
            </w:r>
            <w:r w:rsidR="00553B37" w:rsidRPr="00553B37">
              <w:rPr>
                <w:noProof/>
                <w:webHidden/>
              </w:rPr>
              <w:fldChar w:fldCharType="end"/>
            </w:r>
          </w:hyperlink>
        </w:p>
        <w:p w14:paraId="2B389818" w14:textId="77777777" w:rsidR="00553B37" w:rsidRPr="00553B37" w:rsidRDefault="00A81FC8" w:rsidP="00553B37">
          <w:pPr>
            <w:pStyle w:val="TM3"/>
            <w:rPr>
              <w:rFonts w:eastAsiaTheme="minorEastAsia"/>
              <w:noProof/>
              <w:lang w:eastAsia="fr-FR"/>
            </w:rPr>
          </w:pPr>
          <w:hyperlink w:anchor="_Toc518468109" w:history="1">
            <w:r w:rsidR="00553B37" w:rsidRPr="00553B37">
              <w:rPr>
                <w:rStyle w:val="Lienhypertexte"/>
                <w:rFonts w:ascii="Times New Roman" w:hAnsi="Times New Roman"/>
                <w:noProof/>
                <w:sz w:val="20"/>
              </w:rPr>
              <w:t>1.</w:t>
            </w:r>
            <w:r w:rsidR="00553B37" w:rsidRPr="00553B37">
              <w:rPr>
                <w:rFonts w:eastAsiaTheme="minorEastAsia"/>
                <w:noProof/>
                <w:lang w:eastAsia="fr-FR"/>
              </w:rPr>
              <w:tab/>
            </w:r>
            <w:r w:rsidR="00553B37" w:rsidRPr="00553B37">
              <w:rPr>
                <w:rStyle w:val="Lienhypertexte"/>
                <w:rFonts w:ascii="Times New Roman" w:hAnsi="Times New Roman"/>
                <w:noProof/>
                <w:sz w:val="20"/>
              </w:rPr>
              <w:t>Fiche signalétique des EPE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_Toc518468109 \h </w:instrText>
            </w:r>
            <w:r w:rsidR="00553B37" w:rsidRPr="00553B37">
              <w:rPr>
                <w:noProof/>
                <w:webHidden/>
              </w:rPr>
            </w:r>
            <w:r w:rsidR="00553B37" w:rsidRPr="00553B37">
              <w:rPr>
                <w:noProof/>
                <w:webHidden/>
              </w:rPr>
              <w:fldChar w:fldCharType="separate"/>
            </w:r>
            <w:r w:rsidR="00553B37" w:rsidRPr="00553B37">
              <w:rPr>
                <w:noProof/>
                <w:webHidden/>
              </w:rPr>
              <w:t>81</w:t>
            </w:r>
            <w:r w:rsidR="00553B37" w:rsidRPr="00553B37">
              <w:rPr>
                <w:noProof/>
                <w:webHidden/>
              </w:rPr>
              <w:fldChar w:fldCharType="end"/>
            </w:r>
          </w:hyperlink>
        </w:p>
        <w:p w14:paraId="352F9F52" w14:textId="77777777" w:rsidR="00553B37" w:rsidRPr="00553B37" w:rsidRDefault="00A81FC8" w:rsidP="00553B37">
          <w:pPr>
            <w:pStyle w:val="TM3"/>
            <w:rPr>
              <w:rFonts w:eastAsiaTheme="minorEastAsia"/>
              <w:noProof/>
              <w:lang w:eastAsia="fr-FR"/>
            </w:rPr>
          </w:pPr>
          <w:hyperlink w:anchor="_Toc518468110" w:history="1">
            <w:r w:rsidR="00553B37" w:rsidRPr="00553B37">
              <w:rPr>
                <w:rStyle w:val="Lienhypertexte"/>
                <w:rFonts w:ascii="Times New Roman" w:hAnsi="Times New Roman"/>
                <w:noProof/>
                <w:sz w:val="20"/>
              </w:rPr>
              <w:t>2.</w:t>
            </w:r>
            <w:r w:rsidR="00553B37" w:rsidRPr="00553B37">
              <w:rPr>
                <w:rFonts w:eastAsiaTheme="minorEastAsia"/>
                <w:noProof/>
                <w:lang w:eastAsia="fr-FR"/>
              </w:rPr>
              <w:tab/>
            </w:r>
            <w:r w:rsidR="00553B37" w:rsidRPr="00553B37">
              <w:rPr>
                <w:rStyle w:val="Lienhypertexte"/>
                <w:rFonts w:ascii="Times New Roman" w:hAnsi="Times New Roman"/>
                <w:noProof/>
                <w:sz w:val="20"/>
              </w:rPr>
              <w:t>Règles et pratiques de la relation financière entre les EPE, l’Etat  et les JV</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_Toc518468110 \h </w:instrText>
            </w:r>
            <w:r w:rsidR="00553B37" w:rsidRPr="00553B37">
              <w:rPr>
                <w:noProof/>
                <w:webHidden/>
              </w:rPr>
            </w:r>
            <w:r w:rsidR="00553B37" w:rsidRPr="00553B37">
              <w:rPr>
                <w:noProof/>
                <w:webHidden/>
              </w:rPr>
              <w:fldChar w:fldCharType="separate"/>
            </w:r>
            <w:r w:rsidR="00553B37" w:rsidRPr="00553B37">
              <w:rPr>
                <w:noProof/>
                <w:webHidden/>
              </w:rPr>
              <w:t>81</w:t>
            </w:r>
            <w:r w:rsidR="00553B37" w:rsidRPr="00553B37">
              <w:rPr>
                <w:noProof/>
                <w:webHidden/>
              </w:rPr>
              <w:fldChar w:fldCharType="end"/>
            </w:r>
          </w:hyperlink>
        </w:p>
        <w:p w14:paraId="7EFFD504" w14:textId="77777777" w:rsidR="00553B37" w:rsidRPr="00553B37" w:rsidRDefault="00A81FC8" w:rsidP="00553B37">
          <w:pPr>
            <w:pStyle w:val="TM3"/>
            <w:rPr>
              <w:rFonts w:eastAsiaTheme="minorEastAsia"/>
              <w:noProof/>
              <w:lang w:eastAsia="fr-FR"/>
            </w:rPr>
          </w:pPr>
          <w:hyperlink w:anchor="_Toc518468111" w:history="1">
            <w:r w:rsidR="00553B37" w:rsidRPr="00553B37">
              <w:rPr>
                <w:rStyle w:val="Lienhypertexte"/>
                <w:rFonts w:ascii="Times New Roman" w:hAnsi="Times New Roman"/>
                <w:noProof/>
                <w:sz w:val="20"/>
              </w:rPr>
              <w:t>3.</w:t>
            </w:r>
            <w:r w:rsidR="00553B37" w:rsidRPr="00553B37">
              <w:rPr>
                <w:rFonts w:eastAsiaTheme="minorEastAsia"/>
                <w:noProof/>
                <w:lang w:eastAsia="fr-FR"/>
              </w:rPr>
              <w:tab/>
            </w:r>
            <w:r w:rsidR="00553B37" w:rsidRPr="00553B37">
              <w:rPr>
                <w:rStyle w:val="Lienhypertexte"/>
                <w:rFonts w:ascii="Times New Roman" w:hAnsi="Times New Roman"/>
                <w:noProof/>
                <w:sz w:val="20"/>
              </w:rPr>
              <w:t>Transactions des EPE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_Toc518468111 \h </w:instrText>
            </w:r>
            <w:r w:rsidR="00553B37" w:rsidRPr="00553B37">
              <w:rPr>
                <w:noProof/>
                <w:webHidden/>
              </w:rPr>
            </w:r>
            <w:r w:rsidR="00553B37" w:rsidRPr="00553B37">
              <w:rPr>
                <w:noProof/>
                <w:webHidden/>
              </w:rPr>
              <w:fldChar w:fldCharType="separate"/>
            </w:r>
            <w:r w:rsidR="00553B37" w:rsidRPr="00553B37">
              <w:rPr>
                <w:noProof/>
                <w:webHidden/>
              </w:rPr>
              <w:t>81</w:t>
            </w:r>
            <w:r w:rsidR="00553B37" w:rsidRPr="00553B37">
              <w:rPr>
                <w:noProof/>
                <w:webHidden/>
              </w:rPr>
              <w:fldChar w:fldCharType="end"/>
            </w:r>
          </w:hyperlink>
        </w:p>
        <w:p w14:paraId="379BFE8D" w14:textId="77777777" w:rsidR="00553B37" w:rsidRPr="00553B37" w:rsidRDefault="00A81FC8" w:rsidP="00553B37">
          <w:pPr>
            <w:pStyle w:val="TM3"/>
            <w:rPr>
              <w:rFonts w:eastAsiaTheme="minorEastAsia"/>
              <w:noProof/>
              <w:lang w:eastAsia="fr-FR"/>
            </w:rPr>
          </w:pPr>
          <w:hyperlink w:anchor="_Toc518468112" w:history="1">
            <w:r w:rsidR="00553B37" w:rsidRPr="00553B37">
              <w:rPr>
                <w:rStyle w:val="Lienhypertexte"/>
                <w:rFonts w:ascii="Times New Roman" w:hAnsi="Times New Roman"/>
                <w:noProof/>
                <w:sz w:val="20"/>
              </w:rPr>
              <w:t>4.</w:t>
            </w:r>
            <w:r w:rsidR="00553B37" w:rsidRPr="00553B37">
              <w:rPr>
                <w:rFonts w:eastAsiaTheme="minorEastAsia"/>
                <w:noProof/>
                <w:lang w:eastAsia="fr-FR"/>
              </w:rPr>
              <w:tab/>
            </w:r>
            <w:r w:rsidR="00553B37" w:rsidRPr="00553B37">
              <w:rPr>
                <w:rStyle w:val="Lienhypertexte"/>
                <w:rFonts w:ascii="Times New Roman" w:hAnsi="Times New Roman"/>
                <w:noProof/>
                <w:sz w:val="20"/>
              </w:rPr>
              <w:t>Vente des parts de production de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_Toc518468112 \h </w:instrText>
            </w:r>
            <w:r w:rsidR="00553B37" w:rsidRPr="00553B37">
              <w:rPr>
                <w:noProof/>
                <w:webHidden/>
              </w:rPr>
            </w:r>
            <w:r w:rsidR="00553B37" w:rsidRPr="00553B37">
              <w:rPr>
                <w:noProof/>
                <w:webHidden/>
              </w:rPr>
              <w:fldChar w:fldCharType="separate"/>
            </w:r>
            <w:r w:rsidR="00553B37" w:rsidRPr="00553B37">
              <w:rPr>
                <w:noProof/>
                <w:webHidden/>
              </w:rPr>
              <w:t>83</w:t>
            </w:r>
            <w:r w:rsidR="00553B37" w:rsidRPr="00553B37">
              <w:rPr>
                <w:noProof/>
                <w:webHidden/>
              </w:rPr>
              <w:fldChar w:fldCharType="end"/>
            </w:r>
          </w:hyperlink>
        </w:p>
        <w:p w14:paraId="76814A0D" w14:textId="77777777" w:rsidR="00553B37" w:rsidRPr="00553B37" w:rsidRDefault="00A81FC8" w:rsidP="00553B37">
          <w:pPr>
            <w:pStyle w:val="TM3"/>
            <w:rPr>
              <w:rFonts w:eastAsiaTheme="minorEastAsia"/>
              <w:noProof/>
              <w:lang w:eastAsia="fr-FR"/>
            </w:rPr>
          </w:pPr>
          <w:hyperlink w:anchor="_Toc518468113" w:history="1">
            <w:r w:rsidR="00553B37" w:rsidRPr="00553B37">
              <w:rPr>
                <w:rStyle w:val="Lienhypertexte"/>
                <w:rFonts w:ascii="Times New Roman" w:hAnsi="Times New Roman"/>
                <w:noProof/>
                <w:sz w:val="20"/>
              </w:rPr>
              <w:t>5.</w:t>
            </w:r>
            <w:r w:rsidR="00553B37" w:rsidRPr="00553B37">
              <w:rPr>
                <w:rFonts w:eastAsiaTheme="minorEastAsia"/>
                <w:noProof/>
                <w:lang w:eastAsia="fr-FR"/>
              </w:rPr>
              <w:tab/>
            </w:r>
            <w:r w:rsidR="00553B37" w:rsidRPr="00553B37">
              <w:rPr>
                <w:rStyle w:val="Lienhypertexte"/>
                <w:rFonts w:ascii="Times New Roman" w:hAnsi="Times New Roman"/>
                <w:noProof/>
                <w:sz w:val="20"/>
              </w:rPr>
              <w:t>Dépenses quasi fiscales des EPE</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_Toc518468113 \h </w:instrText>
            </w:r>
            <w:r w:rsidR="00553B37" w:rsidRPr="00553B37">
              <w:rPr>
                <w:noProof/>
                <w:webHidden/>
              </w:rPr>
            </w:r>
            <w:r w:rsidR="00553B37" w:rsidRPr="00553B37">
              <w:rPr>
                <w:noProof/>
                <w:webHidden/>
              </w:rPr>
              <w:fldChar w:fldCharType="separate"/>
            </w:r>
            <w:r w:rsidR="00553B37" w:rsidRPr="00553B37">
              <w:rPr>
                <w:noProof/>
                <w:webHidden/>
              </w:rPr>
              <w:t>83</w:t>
            </w:r>
            <w:r w:rsidR="00553B37" w:rsidRPr="00553B37">
              <w:rPr>
                <w:noProof/>
                <w:webHidden/>
              </w:rPr>
              <w:fldChar w:fldCharType="end"/>
            </w:r>
          </w:hyperlink>
        </w:p>
        <w:p w14:paraId="5902C4F7" w14:textId="77777777" w:rsidR="00553B37" w:rsidRPr="00553B37" w:rsidRDefault="00A81FC8">
          <w:pPr>
            <w:pStyle w:val="TM1"/>
            <w:rPr>
              <w:rFonts w:ascii="Times New Roman" w:eastAsiaTheme="minorEastAsia" w:hAnsi="Times New Roman" w:cs="Times New Roman"/>
              <w:noProof/>
              <w:sz w:val="20"/>
              <w:lang w:eastAsia="fr-FR"/>
            </w:rPr>
          </w:pPr>
          <w:hyperlink w:anchor="_Toc518468114" w:history="1">
            <w:r w:rsidR="00553B37" w:rsidRPr="00553B37">
              <w:rPr>
                <w:rStyle w:val="Lienhypertexte"/>
                <w:rFonts w:ascii="Times New Roman" w:hAnsi="Times New Roman"/>
                <w:noProof/>
                <w:sz w:val="20"/>
              </w:rPr>
              <w:t>X.</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PROCESSUS D’ELABORATION DU BUDGET</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_Toc518468114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84</w:t>
            </w:r>
            <w:r w:rsidR="00553B37" w:rsidRPr="00553B37">
              <w:rPr>
                <w:rFonts w:ascii="Times New Roman" w:hAnsi="Times New Roman" w:cs="Times New Roman"/>
                <w:noProof/>
                <w:webHidden/>
                <w:sz w:val="20"/>
              </w:rPr>
              <w:fldChar w:fldCharType="end"/>
            </w:r>
          </w:hyperlink>
        </w:p>
        <w:p w14:paraId="5A4B1577" w14:textId="77777777" w:rsidR="00553B37" w:rsidRPr="00553B37" w:rsidRDefault="00A81FC8" w:rsidP="00553B37">
          <w:pPr>
            <w:pStyle w:val="TM2"/>
            <w:rPr>
              <w:rFonts w:eastAsiaTheme="minorEastAsia"/>
              <w:noProof/>
              <w:lang w:eastAsia="fr-FR"/>
            </w:rPr>
          </w:pPr>
          <w:hyperlink w:anchor="_Toc518468115" w:history="1">
            <w:r w:rsidR="00553B37" w:rsidRPr="00553B37">
              <w:rPr>
                <w:rStyle w:val="Lienhypertexte"/>
                <w:rFonts w:ascii="Times New Roman" w:hAnsi="Times New Roman"/>
                <w:noProof/>
                <w:sz w:val="20"/>
              </w:rPr>
              <w:t>A.</w:t>
            </w:r>
            <w:r w:rsidR="00553B37" w:rsidRPr="00553B37">
              <w:rPr>
                <w:rFonts w:eastAsiaTheme="minorEastAsia"/>
                <w:noProof/>
                <w:lang w:eastAsia="fr-FR"/>
              </w:rPr>
              <w:tab/>
            </w:r>
            <w:r w:rsidR="00553B37" w:rsidRPr="00553B37">
              <w:rPr>
                <w:rStyle w:val="Lienhypertexte"/>
                <w:rFonts w:ascii="Times New Roman" w:hAnsi="Times New Roman"/>
                <w:noProof/>
                <w:sz w:val="20"/>
              </w:rPr>
              <w:t>Budget de l’Etat</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_Toc518468115 \h </w:instrText>
            </w:r>
            <w:r w:rsidR="00553B37" w:rsidRPr="00553B37">
              <w:rPr>
                <w:noProof/>
                <w:webHidden/>
              </w:rPr>
            </w:r>
            <w:r w:rsidR="00553B37" w:rsidRPr="00553B37">
              <w:rPr>
                <w:noProof/>
                <w:webHidden/>
              </w:rPr>
              <w:fldChar w:fldCharType="separate"/>
            </w:r>
            <w:r w:rsidR="00553B37" w:rsidRPr="00553B37">
              <w:rPr>
                <w:noProof/>
                <w:webHidden/>
              </w:rPr>
              <w:t>84</w:t>
            </w:r>
            <w:r w:rsidR="00553B37" w:rsidRPr="00553B37">
              <w:rPr>
                <w:noProof/>
                <w:webHidden/>
              </w:rPr>
              <w:fldChar w:fldCharType="end"/>
            </w:r>
          </w:hyperlink>
        </w:p>
        <w:p w14:paraId="0D8358FD" w14:textId="77777777" w:rsidR="00553B37" w:rsidRPr="00553B37" w:rsidRDefault="00A81FC8" w:rsidP="00553B37">
          <w:pPr>
            <w:pStyle w:val="TM2"/>
            <w:rPr>
              <w:rFonts w:eastAsiaTheme="minorEastAsia"/>
              <w:noProof/>
              <w:lang w:eastAsia="fr-FR"/>
            </w:rPr>
          </w:pPr>
          <w:hyperlink w:anchor="_Toc518468116" w:history="1">
            <w:r w:rsidR="00553B37" w:rsidRPr="00553B37">
              <w:rPr>
                <w:rStyle w:val="Lienhypertexte"/>
                <w:rFonts w:ascii="Times New Roman" w:hAnsi="Times New Roman"/>
                <w:noProof/>
                <w:sz w:val="20"/>
              </w:rPr>
              <w:t>B.</w:t>
            </w:r>
            <w:r w:rsidR="00553B37" w:rsidRPr="00553B37">
              <w:rPr>
                <w:rFonts w:eastAsiaTheme="minorEastAsia"/>
                <w:noProof/>
                <w:lang w:eastAsia="fr-FR"/>
              </w:rPr>
              <w:tab/>
            </w:r>
            <w:r w:rsidR="00553B37" w:rsidRPr="00553B37">
              <w:rPr>
                <w:rStyle w:val="Lienhypertexte"/>
                <w:rFonts w:ascii="Times New Roman" w:hAnsi="Times New Roman"/>
                <w:noProof/>
                <w:sz w:val="20"/>
              </w:rPr>
              <w:t>Budget des provinces et des Entités Territoriales Décentralisées (ETD)</w:t>
            </w:r>
            <w:r w:rsidR="00553B37" w:rsidRPr="00553B37">
              <w:rPr>
                <w:noProof/>
                <w:webHidden/>
              </w:rPr>
              <w:tab/>
            </w:r>
            <w:r w:rsidR="00553B37" w:rsidRPr="00553B37">
              <w:rPr>
                <w:noProof/>
                <w:webHidden/>
              </w:rPr>
              <w:fldChar w:fldCharType="begin"/>
            </w:r>
            <w:r w:rsidR="00553B37" w:rsidRPr="00553B37">
              <w:rPr>
                <w:noProof/>
                <w:webHidden/>
              </w:rPr>
              <w:instrText xml:space="preserve"> PAGEREF _Toc518468116 \h </w:instrText>
            </w:r>
            <w:r w:rsidR="00553B37" w:rsidRPr="00553B37">
              <w:rPr>
                <w:noProof/>
                <w:webHidden/>
              </w:rPr>
            </w:r>
            <w:r w:rsidR="00553B37" w:rsidRPr="00553B37">
              <w:rPr>
                <w:noProof/>
                <w:webHidden/>
              </w:rPr>
              <w:fldChar w:fldCharType="separate"/>
            </w:r>
            <w:r w:rsidR="00553B37" w:rsidRPr="00553B37">
              <w:rPr>
                <w:noProof/>
                <w:webHidden/>
              </w:rPr>
              <w:t>85</w:t>
            </w:r>
            <w:r w:rsidR="00553B37" w:rsidRPr="00553B37">
              <w:rPr>
                <w:noProof/>
                <w:webHidden/>
              </w:rPr>
              <w:fldChar w:fldCharType="end"/>
            </w:r>
          </w:hyperlink>
        </w:p>
        <w:p w14:paraId="02F9A4D3" w14:textId="77777777" w:rsidR="00553B37" w:rsidRPr="00553B37" w:rsidRDefault="00A81FC8">
          <w:pPr>
            <w:pStyle w:val="TM1"/>
            <w:rPr>
              <w:rFonts w:ascii="Times New Roman" w:eastAsiaTheme="minorEastAsia" w:hAnsi="Times New Roman" w:cs="Times New Roman"/>
              <w:noProof/>
              <w:sz w:val="20"/>
              <w:lang w:eastAsia="fr-FR"/>
            </w:rPr>
          </w:pPr>
          <w:hyperlink w:anchor="_Toc518468117" w:history="1">
            <w:r w:rsidR="00553B37" w:rsidRPr="00553B37">
              <w:rPr>
                <w:rStyle w:val="Lienhypertexte"/>
                <w:rFonts w:ascii="Times New Roman" w:hAnsi="Times New Roman"/>
                <w:noProof/>
                <w:sz w:val="20"/>
              </w:rPr>
              <w:t>XI.</w:t>
            </w:r>
            <w:r w:rsidR="00553B37" w:rsidRPr="00553B37">
              <w:rPr>
                <w:rFonts w:ascii="Times New Roman" w:eastAsiaTheme="minorEastAsia" w:hAnsi="Times New Roman" w:cs="Times New Roman"/>
                <w:noProof/>
                <w:sz w:val="20"/>
                <w:lang w:eastAsia="fr-FR"/>
              </w:rPr>
              <w:tab/>
            </w:r>
            <w:r w:rsidR="00553B37" w:rsidRPr="00553B37">
              <w:rPr>
                <w:rStyle w:val="Lienhypertexte"/>
                <w:rFonts w:ascii="Times New Roman" w:hAnsi="Times New Roman"/>
                <w:noProof/>
                <w:sz w:val="20"/>
              </w:rPr>
              <w:t>SUIVI DES RECOMMANDATIONS ISSUES DU RAPPORTAGE ITIE</w:t>
            </w:r>
            <w:r w:rsidR="00553B37" w:rsidRPr="00553B37">
              <w:rPr>
                <w:rFonts w:ascii="Times New Roman" w:hAnsi="Times New Roman" w:cs="Times New Roman"/>
                <w:noProof/>
                <w:webHidden/>
                <w:sz w:val="20"/>
              </w:rPr>
              <w:tab/>
            </w:r>
            <w:r w:rsidR="00553B37" w:rsidRPr="00553B37">
              <w:rPr>
                <w:rFonts w:ascii="Times New Roman" w:hAnsi="Times New Roman" w:cs="Times New Roman"/>
                <w:noProof/>
                <w:webHidden/>
                <w:sz w:val="20"/>
              </w:rPr>
              <w:fldChar w:fldCharType="begin"/>
            </w:r>
            <w:r w:rsidR="00553B37" w:rsidRPr="00553B37">
              <w:rPr>
                <w:rFonts w:ascii="Times New Roman" w:hAnsi="Times New Roman" w:cs="Times New Roman"/>
                <w:noProof/>
                <w:webHidden/>
                <w:sz w:val="20"/>
              </w:rPr>
              <w:instrText xml:space="preserve"> PAGEREF _Toc518468117 \h </w:instrText>
            </w:r>
            <w:r w:rsidR="00553B37" w:rsidRPr="00553B37">
              <w:rPr>
                <w:rFonts w:ascii="Times New Roman" w:hAnsi="Times New Roman" w:cs="Times New Roman"/>
                <w:noProof/>
                <w:webHidden/>
                <w:sz w:val="20"/>
              </w:rPr>
            </w:r>
            <w:r w:rsidR="00553B37" w:rsidRPr="00553B37">
              <w:rPr>
                <w:rFonts w:ascii="Times New Roman" w:hAnsi="Times New Roman" w:cs="Times New Roman"/>
                <w:noProof/>
                <w:webHidden/>
                <w:sz w:val="20"/>
              </w:rPr>
              <w:fldChar w:fldCharType="separate"/>
            </w:r>
            <w:r w:rsidR="00553B37" w:rsidRPr="00553B37">
              <w:rPr>
                <w:rFonts w:ascii="Times New Roman" w:hAnsi="Times New Roman" w:cs="Times New Roman"/>
                <w:noProof/>
                <w:webHidden/>
                <w:sz w:val="20"/>
              </w:rPr>
              <w:t>86</w:t>
            </w:r>
            <w:r w:rsidR="00553B37" w:rsidRPr="00553B37">
              <w:rPr>
                <w:rFonts w:ascii="Times New Roman" w:hAnsi="Times New Roman" w:cs="Times New Roman"/>
                <w:noProof/>
                <w:webHidden/>
                <w:sz w:val="20"/>
              </w:rPr>
              <w:fldChar w:fldCharType="end"/>
            </w:r>
          </w:hyperlink>
        </w:p>
        <w:p w14:paraId="19F5EC6E" w14:textId="0706DE17" w:rsidR="007C4ABA" w:rsidRDefault="007C4ABA">
          <w:r w:rsidRPr="00553B37">
            <w:rPr>
              <w:rFonts w:ascii="Times New Roman" w:hAnsi="Times New Roman"/>
              <w:b/>
              <w:bCs/>
              <w:sz w:val="20"/>
            </w:rPr>
            <w:fldChar w:fldCharType="end"/>
          </w:r>
        </w:p>
      </w:sdtContent>
    </w:sdt>
    <w:p w14:paraId="2A7157EE" w14:textId="08DD6398" w:rsidR="00A66C88" w:rsidRDefault="00295E3B">
      <w:pPr>
        <w:rPr>
          <w:rFonts w:ascii="Times New Roman" w:eastAsiaTheme="majorEastAsia" w:hAnsi="Times New Roman" w:cstheme="majorBidi"/>
          <w:caps/>
          <w:color w:val="5B9BD5" w:themeColor="accent1"/>
          <w:spacing w:val="14"/>
          <w:sz w:val="28"/>
          <w:szCs w:val="28"/>
        </w:rPr>
      </w:pPr>
      <w:r>
        <w:rPr>
          <w:rFonts w:ascii="Times New Roman" w:hAnsi="Times New Roman"/>
          <w:sz w:val="28"/>
          <w:szCs w:val="28"/>
        </w:rPr>
        <w:br w:type="page"/>
      </w:r>
      <w:bookmarkStart w:id="5" w:name="_Toc492630352"/>
    </w:p>
    <w:tbl>
      <w:tblPr>
        <w:tblStyle w:val="Tableausimple31"/>
        <w:tblW w:w="5000" w:type="pct"/>
        <w:tblLook w:val="04A0" w:firstRow="1" w:lastRow="0" w:firstColumn="1" w:lastColumn="0" w:noHBand="0" w:noVBand="1"/>
      </w:tblPr>
      <w:tblGrid>
        <w:gridCol w:w="1647"/>
        <w:gridCol w:w="7993"/>
      </w:tblGrid>
      <w:tr w:rsidR="000F6775" w:rsidRPr="000F6775" w14:paraId="18C21C10" w14:textId="77777777" w:rsidTr="000F6775">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5000" w:type="pct"/>
            <w:gridSpan w:val="2"/>
            <w:hideMark/>
          </w:tcPr>
          <w:p w14:paraId="594720CC" w14:textId="77777777" w:rsidR="00A66C88" w:rsidRPr="000F6775" w:rsidRDefault="00A66C88" w:rsidP="004521CD">
            <w:pPr>
              <w:rPr>
                <w:b w:val="0"/>
                <w:color w:val="171717" w:themeColor="background2" w:themeShade="1A"/>
                <w:szCs w:val="20"/>
                <w:lang w:eastAsia="en-GB"/>
              </w:rPr>
            </w:pPr>
            <w:r w:rsidRPr="000F6775">
              <w:rPr>
                <w:color w:val="171717" w:themeColor="background2" w:themeShade="1A"/>
                <w:szCs w:val="20"/>
                <w:lang w:eastAsia="fr-FR"/>
              </w:rPr>
              <w:lastRenderedPageBreak/>
              <w:t>Abréviations</w:t>
            </w:r>
          </w:p>
        </w:tc>
      </w:tr>
      <w:tr w:rsidR="00DA26B6" w:rsidRPr="007523BD" w14:paraId="49ECC64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6A01BC5" w14:textId="1B7EE417" w:rsidR="00DA26B6" w:rsidRPr="007523BD" w:rsidRDefault="00DA26B6" w:rsidP="0054038F">
            <w:pPr>
              <w:rPr>
                <w:color w:val="000000"/>
                <w:sz w:val="18"/>
                <w:szCs w:val="18"/>
                <w:lang w:eastAsia="en-GB"/>
              </w:rPr>
            </w:pPr>
            <w:r>
              <w:rPr>
                <w:color w:val="000000"/>
                <w:sz w:val="18"/>
                <w:szCs w:val="18"/>
                <w:lang w:eastAsia="en-GB"/>
              </w:rPr>
              <w:t>AECP</w:t>
            </w:r>
          </w:p>
        </w:tc>
        <w:tc>
          <w:tcPr>
            <w:tcW w:w="4146" w:type="pct"/>
          </w:tcPr>
          <w:p w14:paraId="47560438" w14:textId="2365C174" w:rsidR="00DA26B6" w:rsidRPr="007523BD" w:rsidRDefault="00DA26B6"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en-GB"/>
              </w:rPr>
            </w:pPr>
            <w:r>
              <w:rPr>
                <w:color w:val="000000"/>
                <w:sz w:val="18"/>
                <w:szCs w:val="18"/>
                <w:lang w:eastAsia="en-GB"/>
              </w:rPr>
              <w:t>Autorisation d’Exploitation de Carrière Permanente</w:t>
            </w:r>
          </w:p>
        </w:tc>
      </w:tr>
      <w:tr w:rsidR="00CB5CFC" w:rsidRPr="007523BD" w14:paraId="4DA6058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6E36ABD" w14:textId="752F9669" w:rsidR="00CB5CFC" w:rsidRDefault="00CB5CFC" w:rsidP="0054038F">
            <w:pPr>
              <w:rPr>
                <w:color w:val="000000"/>
                <w:sz w:val="18"/>
                <w:szCs w:val="18"/>
                <w:lang w:eastAsia="en-GB"/>
              </w:rPr>
            </w:pPr>
            <w:r>
              <w:rPr>
                <w:color w:val="000000"/>
                <w:sz w:val="18"/>
                <w:szCs w:val="18"/>
                <w:lang w:eastAsia="en-GB"/>
              </w:rPr>
              <w:t>ARPC</w:t>
            </w:r>
          </w:p>
        </w:tc>
        <w:tc>
          <w:tcPr>
            <w:tcW w:w="4146" w:type="pct"/>
          </w:tcPr>
          <w:p w14:paraId="6D82CAAB" w14:textId="2F4E2679" w:rsidR="00CB5CFC" w:rsidRDefault="00CB5CFC"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en-GB"/>
              </w:rPr>
            </w:pPr>
            <w:r>
              <w:rPr>
                <w:color w:val="000000"/>
                <w:sz w:val="18"/>
                <w:szCs w:val="18"/>
                <w:lang w:eastAsia="en-GB"/>
              </w:rPr>
              <w:t>Autorisation de Recherche des Produits de Carrières</w:t>
            </w:r>
          </w:p>
        </w:tc>
      </w:tr>
      <w:tr w:rsidR="00A66C88" w:rsidRPr="007523BD" w14:paraId="782DC3EC"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A83B56B" w14:textId="77777777" w:rsidR="00A66C88" w:rsidRPr="007523BD" w:rsidRDefault="00A66C88" w:rsidP="0054038F">
            <w:pPr>
              <w:rPr>
                <w:bCs w:val="0"/>
                <w:color w:val="000000"/>
                <w:sz w:val="18"/>
                <w:szCs w:val="18"/>
                <w:lang w:eastAsia="en-GB"/>
              </w:rPr>
            </w:pPr>
            <w:r w:rsidRPr="007523BD">
              <w:rPr>
                <w:bCs w:val="0"/>
                <w:color w:val="000000"/>
                <w:sz w:val="18"/>
                <w:szCs w:val="18"/>
                <w:lang w:eastAsia="en-GB"/>
              </w:rPr>
              <w:t>AFE</w:t>
            </w:r>
          </w:p>
        </w:tc>
        <w:tc>
          <w:tcPr>
            <w:tcW w:w="4146" w:type="pct"/>
            <w:hideMark/>
          </w:tcPr>
          <w:p w14:paraId="69D3AA00"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en-GB"/>
              </w:rPr>
              <w:t xml:space="preserve">Agence Financière de l'Etat </w:t>
            </w:r>
          </w:p>
        </w:tc>
      </w:tr>
      <w:tr w:rsidR="00A66C88" w:rsidRPr="007523BD" w14:paraId="00975A66"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E0C8A8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BCC</w:t>
            </w:r>
          </w:p>
        </w:tc>
        <w:tc>
          <w:tcPr>
            <w:tcW w:w="4146" w:type="pct"/>
            <w:hideMark/>
          </w:tcPr>
          <w:p w14:paraId="722B4232"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Banque Centrale du Congo</w:t>
            </w:r>
          </w:p>
        </w:tc>
      </w:tr>
      <w:tr w:rsidR="00A66C88" w:rsidRPr="007523BD" w14:paraId="13AF29B0"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973B3A0"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CAMI</w:t>
            </w:r>
          </w:p>
        </w:tc>
        <w:tc>
          <w:tcPr>
            <w:tcW w:w="4146" w:type="pct"/>
            <w:hideMark/>
          </w:tcPr>
          <w:p w14:paraId="76BEE048"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Cadastre Minier</w:t>
            </w:r>
          </w:p>
        </w:tc>
      </w:tr>
      <w:tr w:rsidR="00A66C88" w:rsidRPr="007523BD" w14:paraId="0A62F15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1DEFE68"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CDF</w:t>
            </w:r>
          </w:p>
        </w:tc>
        <w:tc>
          <w:tcPr>
            <w:tcW w:w="4146" w:type="pct"/>
            <w:hideMark/>
          </w:tcPr>
          <w:p w14:paraId="22D2C1D6" w14:textId="50531790"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Franc Congolais (Congolese Democratic Franc)</w:t>
            </w:r>
          </w:p>
        </w:tc>
      </w:tr>
      <w:tr w:rsidR="00A66C88" w:rsidRPr="007523BD" w14:paraId="7936AFA6"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10D1F5E5"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CE</w:t>
            </w:r>
          </w:p>
        </w:tc>
        <w:tc>
          <w:tcPr>
            <w:tcW w:w="4146" w:type="pct"/>
            <w:hideMark/>
          </w:tcPr>
          <w:p w14:paraId="61D310C1"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Comité Exécutif</w:t>
            </w:r>
          </w:p>
        </w:tc>
      </w:tr>
      <w:tr w:rsidR="00A66C88" w:rsidRPr="007523BD" w14:paraId="4CC31EC9"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41FD76F4" w14:textId="77777777" w:rsidR="00A66C88" w:rsidRPr="007523BD" w:rsidRDefault="00A66C88" w:rsidP="0054038F">
            <w:pPr>
              <w:rPr>
                <w:bCs w:val="0"/>
                <w:color w:val="000000"/>
                <w:sz w:val="18"/>
                <w:szCs w:val="18"/>
                <w:lang w:eastAsia="fr-FR"/>
              </w:rPr>
            </w:pPr>
            <w:r>
              <w:rPr>
                <w:bCs w:val="0"/>
                <w:color w:val="000000"/>
                <w:sz w:val="18"/>
                <w:szCs w:val="18"/>
                <w:lang w:eastAsia="fr-FR"/>
              </w:rPr>
              <w:t>CEEC</w:t>
            </w:r>
          </w:p>
        </w:tc>
        <w:tc>
          <w:tcPr>
            <w:tcW w:w="4146" w:type="pct"/>
          </w:tcPr>
          <w:p w14:paraId="33C94E07"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Centre d'Evaluation, d'Expertise et de Certification</w:t>
            </w:r>
          </w:p>
        </w:tc>
      </w:tr>
      <w:tr w:rsidR="00A66C88" w:rsidRPr="007523BD" w14:paraId="2330399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7480E05B"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CPP</w:t>
            </w:r>
          </w:p>
        </w:tc>
        <w:tc>
          <w:tcPr>
            <w:tcW w:w="4146" w:type="pct"/>
          </w:tcPr>
          <w:p w14:paraId="0F2BED03"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7523BD">
              <w:rPr>
                <w:color w:val="000000"/>
                <w:sz w:val="18"/>
                <w:szCs w:val="18"/>
                <w:lang w:eastAsia="fr-FR"/>
              </w:rPr>
              <w:t>Contrat de Partage de Production</w:t>
            </w:r>
          </w:p>
        </w:tc>
      </w:tr>
      <w:tr w:rsidR="00A66C88" w:rsidRPr="007523BD" w14:paraId="25E8AE7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46014E2" w14:textId="6A79EA63" w:rsidR="00A66C88" w:rsidRPr="007523BD" w:rsidRDefault="00A66C88" w:rsidP="0054038F">
            <w:pPr>
              <w:rPr>
                <w:color w:val="000000"/>
                <w:sz w:val="18"/>
                <w:szCs w:val="18"/>
                <w:lang w:eastAsia="fr-FR"/>
              </w:rPr>
            </w:pPr>
            <w:r>
              <w:rPr>
                <w:color w:val="000000"/>
                <w:sz w:val="18"/>
                <w:szCs w:val="18"/>
                <w:lang w:eastAsia="fr-FR"/>
              </w:rPr>
              <w:t>CTCPM</w:t>
            </w:r>
          </w:p>
        </w:tc>
        <w:tc>
          <w:tcPr>
            <w:tcW w:w="4146" w:type="pct"/>
          </w:tcPr>
          <w:p w14:paraId="250E0529" w14:textId="5100C064" w:rsidR="00A66C88" w:rsidRPr="00A66C88"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sidRPr="00A66C88">
              <w:rPr>
                <w:color w:val="000000"/>
                <w:sz w:val="18"/>
                <w:szCs w:val="18"/>
                <w:lang w:eastAsia="fr-FR"/>
              </w:rPr>
              <w:t>Cellule Technique de Coordination et de Planification Minière</w:t>
            </w:r>
          </w:p>
        </w:tc>
      </w:tr>
      <w:tr w:rsidR="00A66C88" w:rsidRPr="007523BD" w14:paraId="6071B136"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C1D79B2"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CTR</w:t>
            </w:r>
          </w:p>
        </w:tc>
        <w:tc>
          <w:tcPr>
            <w:tcW w:w="4146" w:type="pct"/>
          </w:tcPr>
          <w:p w14:paraId="61D26B77" w14:textId="77777777" w:rsidR="00A66C88" w:rsidRPr="00A66C88" w:rsidRDefault="00A66C88"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A66C88">
              <w:rPr>
                <w:color w:val="000000"/>
                <w:sz w:val="18"/>
                <w:szCs w:val="18"/>
                <w:lang w:eastAsia="fr-FR"/>
              </w:rPr>
              <w:t>Comité Technique de suivi et évaluation des Réformes</w:t>
            </w:r>
          </w:p>
        </w:tc>
      </w:tr>
      <w:tr w:rsidR="00A66C88" w:rsidRPr="007523BD" w14:paraId="5C1F40D2"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D1A1FFE"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DGDA</w:t>
            </w:r>
          </w:p>
        </w:tc>
        <w:tc>
          <w:tcPr>
            <w:tcW w:w="4146" w:type="pct"/>
            <w:hideMark/>
          </w:tcPr>
          <w:p w14:paraId="5E4A1BF4"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Direction Générale des Douanes et Accises</w:t>
            </w:r>
          </w:p>
        </w:tc>
      </w:tr>
      <w:tr w:rsidR="00A66C88" w:rsidRPr="007523BD" w14:paraId="6F4926DF"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606A8A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DGI</w:t>
            </w:r>
          </w:p>
        </w:tc>
        <w:tc>
          <w:tcPr>
            <w:tcW w:w="4146" w:type="pct"/>
            <w:hideMark/>
          </w:tcPr>
          <w:p w14:paraId="388206BC"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Direction Générale des Impôts </w:t>
            </w:r>
          </w:p>
        </w:tc>
      </w:tr>
      <w:tr w:rsidR="00A66C88" w:rsidRPr="007523BD" w14:paraId="086F044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4652B4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 xml:space="preserve">DGRAD </w:t>
            </w:r>
          </w:p>
        </w:tc>
        <w:tc>
          <w:tcPr>
            <w:tcW w:w="4146" w:type="pct"/>
            <w:hideMark/>
          </w:tcPr>
          <w:p w14:paraId="183A1CC9"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Direction Générale des Recettes Administratives, Judiciaires, Domaniales et de Participation </w:t>
            </w:r>
          </w:p>
        </w:tc>
      </w:tr>
      <w:tr w:rsidR="00A66C88" w:rsidRPr="007523BD" w14:paraId="6BCC8BB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260375DA" w14:textId="77777777" w:rsidR="00A66C88" w:rsidRPr="007523BD" w:rsidRDefault="00A66C88" w:rsidP="0054038F">
            <w:pPr>
              <w:rPr>
                <w:bCs w:val="0"/>
                <w:color w:val="000000"/>
                <w:sz w:val="18"/>
                <w:szCs w:val="18"/>
                <w:lang w:eastAsia="fr-FR"/>
              </w:rPr>
            </w:pPr>
            <w:r>
              <w:rPr>
                <w:bCs w:val="0"/>
                <w:color w:val="000000"/>
                <w:sz w:val="18"/>
                <w:szCs w:val="18"/>
                <w:lang w:eastAsia="fr-FR"/>
              </w:rPr>
              <w:t>DPSB</w:t>
            </w:r>
          </w:p>
        </w:tc>
        <w:tc>
          <w:tcPr>
            <w:tcW w:w="4146" w:type="pct"/>
          </w:tcPr>
          <w:p w14:paraId="6DCCFB2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002CA8">
              <w:rPr>
                <w:color w:val="000000"/>
                <w:sz w:val="18"/>
                <w:szCs w:val="18"/>
                <w:lang w:eastAsia="fr-FR"/>
              </w:rPr>
              <w:t>Direction de la Préparation et du Suivi du Budget</w:t>
            </w:r>
          </w:p>
        </w:tc>
      </w:tr>
      <w:tr w:rsidR="00A66C88" w:rsidRPr="007523BD" w14:paraId="0CF3284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117F4DF" w14:textId="44EA7865" w:rsidR="00A66C88" w:rsidRPr="007523BD" w:rsidRDefault="00A66C88" w:rsidP="0054038F">
            <w:pPr>
              <w:rPr>
                <w:bCs w:val="0"/>
                <w:color w:val="000000"/>
                <w:sz w:val="18"/>
                <w:szCs w:val="18"/>
                <w:lang w:eastAsia="en-GB"/>
              </w:rPr>
            </w:pPr>
            <w:r w:rsidRPr="007523BD">
              <w:rPr>
                <w:bCs w:val="0"/>
                <w:color w:val="000000"/>
                <w:sz w:val="18"/>
                <w:szCs w:val="18"/>
                <w:lang w:eastAsia="fr-FR"/>
              </w:rPr>
              <w:t>DR</w:t>
            </w:r>
            <w:r>
              <w:rPr>
                <w:color w:val="000000"/>
                <w:sz w:val="18"/>
                <w:szCs w:val="18"/>
                <w:lang w:eastAsia="fr-FR"/>
              </w:rPr>
              <w:t>H</w:t>
            </w:r>
            <w:r w:rsidRPr="007523BD">
              <w:rPr>
                <w:bCs w:val="0"/>
                <w:color w:val="000000"/>
                <w:sz w:val="18"/>
                <w:szCs w:val="18"/>
                <w:lang w:eastAsia="fr-FR"/>
              </w:rPr>
              <w:t>KAT</w:t>
            </w:r>
          </w:p>
        </w:tc>
        <w:tc>
          <w:tcPr>
            <w:tcW w:w="4146" w:type="pct"/>
            <w:hideMark/>
          </w:tcPr>
          <w:p w14:paraId="2F19D452" w14:textId="5C805EC3" w:rsidR="00A66C88" w:rsidRPr="007523BD" w:rsidRDefault="00A66C88" w:rsidP="00A66C88">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Direction Provinciale des Recettes du</w:t>
            </w:r>
            <w:r>
              <w:rPr>
                <w:color w:val="000000"/>
                <w:sz w:val="18"/>
                <w:szCs w:val="18"/>
                <w:lang w:eastAsia="fr-FR"/>
              </w:rPr>
              <w:t xml:space="preserve"> Haut-</w:t>
            </w:r>
            <w:r w:rsidRPr="007523BD">
              <w:rPr>
                <w:color w:val="000000"/>
                <w:sz w:val="18"/>
                <w:szCs w:val="18"/>
                <w:lang w:eastAsia="fr-FR"/>
              </w:rPr>
              <w:t>Katanga</w:t>
            </w:r>
          </w:p>
        </w:tc>
      </w:tr>
      <w:tr w:rsidR="00A66C88" w:rsidRPr="007523BD" w14:paraId="1509D59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12CA6BBC" w14:textId="3552C590" w:rsidR="00A66C88" w:rsidRDefault="00A66C88" w:rsidP="0054038F">
            <w:pPr>
              <w:rPr>
                <w:color w:val="000000"/>
                <w:sz w:val="18"/>
                <w:szCs w:val="18"/>
                <w:lang w:eastAsia="fr-FR"/>
              </w:rPr>
            </w:pPr>
            <w:r>
              <w:rPr>
                <w:color w:val="000000"/>
                <w:sz w:val="18"/>
                <w:szCs w:val="18"/>
                <w:lang w:eastAsia="fr-FR"/>
              </w:rPr>
              <w:t>DRLU</w:t>
            </w:r>
          </w:p>
        </w:tc>
        <w:tc>
          <w:tcPr>
            <w:tcW w:w="4146" w:type="pct"/>
          </w:tcPr>
          <w:p w14:paraId="7A93D972" w14:textId="7D9EA568" w:rsidR="00A66C88" w:rsidRDefault="00A66C88"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7523BD">
              <w:rPr>
                <w:color w:val="000000"/>
                <w:sz w:val="18"/>
                <w:szCs w:val="18"/>
                <w:lang w:eastAsia="fr-FR"/>
              </w:rPr>
              <w:t>Direction Provinciale des Recettes du</w:t>
            </w:r>
            <w:r>
              <w:rPr>
                <w:color w:val="000000"/>
                <w:sz w:val="18"/>
                <w:szCs w:val="18"/>
                <w:lang w:eastAsia="fr-FR"/>
              </w:rPr>
              <w:t xml:space="preserve"> Lualaba</w:t>
            </w:r>
          </w:p>
        </w:tc>
      </w:tr>
      <w:tr w:rsidR="00A66C88" w:rsidRPr="007523BD" w14:paraId="31B9D77B"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441D6819" w14:textId="418C67F2" w:rsidR="00A66C88" w:rsidRPr="007523BD" w:rsidRDefault="00A66C88" w:rsidP="0054038F">
            <w:pPr>
              <w:rPr>
                <w:color w:val="000000"/>
                <w:sz w:val="18"/>
                <w:szCs w:val="18"/>
                <w:lang w:eastAsia="fr-FR"/>
              </w:rPr>
            </w:pPr>
            <w:r>
              <w:rPr>
                <w:color w:val="000000"/>
                <w:sz w:val="18"/>
                <w:szCs w:val="18"/>
                <w:lang w:eastAsia="fr-FR"/>
              </w:rPr>
              <w:t>EIES</w:t>
            </w:r>
          </w:p>
        </w:tc>
        <w:tc>
          <w:tcPr>
            <w:tcW w:w="4146" w:type="pct"/>
          </w:tcPr>
          <w:p w14:paraId="372F6EC9" w14:textId="6ACE1BDD"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Etude d’impact environnemental et Social</w:t>
            </w:r>
          </w:p>
        </w:tc>
      </w:tr>
      <w:tr w:rsidR="00A66C88" w:rsidRPr="007523BD" w14:paraId="68C5769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02A30EC"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EPE</w:t>
            </w:r>
          </w:p>
        </w:tc>
        <w:tc>
          <w:tcPr>
            <w:tcW w:w="4146" w:type="pct"/>
            <w:hideMark/>
          </w:tcPr>
          <w:p w14:paraId="5DA39CD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Entreprise du Portefeuille de l’Etat</w:t>
            </w:r>
          </w:p>
        </w:tc>
      </w:tr>
      <w:tr w:rsidR="00A66C88" w:rsidRPr="007523BD" w14:paraId="3B63F50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A627FEC" w14:textId="77777777" w:rsidR="00A66C88" w:rsidRPr="007523BD" w:rsidRDefault="00A66C88" w:rsidP="0054038F">
            <w:pPr>
              <w:rPr>
                <w:bCs w:val="0"/>
                <w:color w:val="000000"/>
                <w:sz w:val="18"/>
                <w:szCs w:val="18"/>
                <w:lang w:eastAsia="fr-FR"/>
              </w:rPr>
            </w:pPr>
            <w:r>
              <w:rPr>
                <w:bCs w:val="0"/>
                <w:color w:val="000000"/>
                <w:sz w:val="18"/>
                <w:szCs w:val="18"/>
                <w:lang w:eastAsia="fr-FR"/>
              </w:rPr>
              <w:t>ETD</w:t>
            </w:r>
          </w:p>
        </w:tc>
        <w:tc>
          <w:tcPr>
            <w:tcW w:w="4146" w:type="pct"/>
          </w:tcPr>
          <w:p w14:paraId="2FD28C7A"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Entités Territoriales Décentralisés</w:t>
            </w:r>
          </w:p>
        </w:tc>
      </w:tr>
      <w:tr w:rsidR="00A66C88" w:rsidRPr="007523BD" w14:paraId="731E01A9"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4BB8C59"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GMP</w:t>
            </w:r>
          </w:p>
        </w:tc>
        <w:tc>
          <w:tcPr>
            <w:tcW w:w="4146" w:type="pct"/>
            <w:hideMark/>
          </w:tcPr>
          <w:p w14:paraId="2A03E968"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Groupe Multipartite de l'ITIE</w:t>
            </w:r>
          </w:p>
        </w:tc>
      </w:tr>
      <w:tr w:rsidR="00A66C88" w:rsidRPr="007523BD" w14:paraId="4684774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132AA27"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IBP</w:t>
            </w:r>
          </w:p>
        </w:tc>
        <w:tc>
          <w:tcPr>
            <w:tcW w:w="4146" w:type="pct"/>
            <w:hideMark/>
          </w:tcPr>
          <w:p w14:paraId="6FB67A73"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Impôt sur les Bénéfices et Profits</w:t>
            </w:r>
          </w:p>
        </w:tc>
      </w:tr>
      <w:tr w:rsidR="00A66C88" w:rsidRPr="007523BD" w14:paraId="5BF86708"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42D4CC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IGF</w:t>
            </w:r>
          </w:p>
        </w:tc>
        <w:tc>
          <w:tcPr>
            <w:tcW w:w="4146" w:type="pct"/>
            <w:hideMark/>
          </w:tcPr>
          <w:p w14:paraId="08E889BA"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Inspection Générale des Finances</w:t>
            </w:r>
          </w:p>
        </w:tc>
      </w:tr>
      <w:tr w:rsidR="000F6775" w:rsidRPr="007523BD" w14:paraId="7E51627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61CF7C1D" w14:textId="133C55EA" w:rsidR="000F6775" w:rsidRPr="007523BD" w:rsidRDefault="000F6775" w:rsidP="0054038F">
            <w:pPr>
              <w:rPr>
                <w:color w:val="000000"/>
                <w:sz w:val="18"/>
                <w:szCs w:val="18"/>
                <w:lang w:eastAsia="fr-FR"/>
              </w:rPr>
            </w:pPr>
            <w:r>
              <w:rPr>
                <w:color w:val="000000"/>
                <w:sz w:val="18"/>
                <w:szCs w:val="18"/>
                <w:lang w:eastAsia="fr-FR"/>
              </w:rPr>
              <w:t>INS</w:t>
            </w:r>
          </w:p>
        </w:tc>
        <w:tc>
          <w:tcPr>
            <w:tcW w:w="4146" w:type="pct"/>
          </w:tcPr>
          <w:p w14:paraId="6FD94C4F" w14:textId="0CB8B945" w:rsidR="000F6775" w:rsidRPr="007523BD" w:rsidRDefault="000F6775"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Institut National des Statistiques</w:t>
            </w:r>
          </w:p>
        </w:tc>
      </w:tr>
      <w:tr w:rsidR="00A66C88" w:rsidRPr="007523BD" w14:paraId="5C52FC6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3957C2A"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INSS</w:t>
            </w:r>
          </w:p>
        </w:tc>
        <w:tc>
          <w:tcPr>
            <w:tcW w:w="4146" w:type="pct"/>
          </w:tcPr>
          <w:p w14:paraId="78C9446D"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7523BD">
              <w:rPr>
                <w:color w:val="000000"/>
                <w:sz w:val="18"/>
                <w:szCs w:val="18"/>
                <w:lang w:eastAsia="fr-FR"/>
              </w:rPr>
              <w:t>Institut National de Sécurité Sociale</w:t>
            </w:r>
          </w:p>
        </w:tc>
      </w:tr>
      <w:tr w:rsidR="00A66C88" w:rsidRPr="007523BD" w14:paraId="5BC2F37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16F004A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ITIE</w:t>
            </w:r>
          </w:p>
        </w:tc>
        <w:tc>
          <w:tcPr>
            <w:tcW w:w="4146" w:type="pct"/>
            <w:hideMark/>
          </w:tcPr>
          <w:p w14:paraId="10EFD4CA"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Initiative pour la Transparence dans les Industries Extractives</w:t>
            </w:r>
          </w:p>
        </w:tc>
      </w:tr>
      <w:tr w:rsidR="00A66C88" w:rsidRPr="007523BD" w14:paraId="1398E28E"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610405C2"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JV</w:t>
            </w:r>
          </w:p>
        </w:tc>
        <w:tc>
          <w:tcPr>
            <w:tcW w:w="4146" w:type="pct"/>
            <w:hideMark/>
          </w:tcPr>
          <w:p w14:paraId="725DCD46"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Contrat d'association (Joint-Venture)</w:t>
            </w:r>
          </w:p>
        </w:tc>
      </w:tr>
      <w:tr w:rsidR="000F6775" w:rsidRPr="007523BD" w14:paraId="594B2235"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1CA5B85" w14:textId="326C229F" w:rsidR="000F6775" w:rsidRDefault="000F6775" w:rsidP="0054038F">
            <w:pPr>
              <w:rPr>
                <w:color w:val="000000"/>
                <w:sz w:val="18"/>
                <w:szCs w:val="18"/>
                <w:lang w:eastAsia="fr-FR"/>
              </w:rPr>
            </w:pPr>
            <w:r>
              <w:rPr>
                <w:color w:val="000000"/>
                <w:sz w:val="18"/>
                <w:szCs w:val="18"/>
                <w:lang w:eastAsia="fr-FR"/>
              </w:rPr>
              <w:t>LMB</w:t>
            </w:r>
          </w:p>
        </w:tc>
        <w:tc>
          <w:tcPr>
            <w:tcW w:w="4146" w:type="pct"/>
          </w:tcPr>
          <w:p w14:paraId="5B25EEE8" w14:textId="7978FFA8" w:rsidR="000F6775" w:rsidRDefault="000F6775" w:rsidP="000F6775">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London Metal Bulletin</w:t>
            </w:r>
          </w:p>
        </w:tc>
      </w:tr>
      <w:tr w:rsidR="000F6775" w:rsidRPr="007523BD" w14:paraId="7E860045"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4485DD0" w14:textId="75C54894" w:rsidR="000F6775" w:rsidRPr="007523BD" w:rsidRDefault="000F6775" w:rsidP="0054038F">
            <w:pPr>
              <w:rPr>
                <w:color w:val="000000"/>
                <w:sz w:val="18"/>
                <w:szCs w:val="18"/>
                <w:lang w:eastAsia="fr-FR"/>
              </w:rPr>
            </w:pPr>
            <w:r>
              <w:rPr>
                <w:color w:val="000000"/>
                <w:sz w:val="18"/>
                <w:szCs w:val="18"/>
                <w:lang w:eastAsia="fr-FR"/>
              </w:rPr>
              <w:t>LME</w:t>
            </w:r>
          </w:p>
        </w:tc>
        <w:tc>
          <w:tcPr>
            <w:tcW w:w="4146" w:type="pct"/>
          </w:tcPr>
          <w:p w14:paraId="7743C914" w14:textId="42AC59CB" w:rsidR="000F6775" w:rsidRPr="007523BD" w:rsidRDefault="000F6775" w:rsidP="000F6775">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London Metal Exchange</w:t>
            </w:r>
          </w:p>
        </w:tc>
      </w:tr>
      <w:tr w:rsidR="00A66C88" w:rsidRPr="007523BD" w14:paraId="12C1107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6B381941"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MEDD</w:t>
            </w:r>
          </w:p>
        </w:tc>
        <w:tc>
          <w:tcPr>
            <w:tcW w:w="4146" w:type="pct"/>
          </w:tcPr>
          <w:p w14:paraId="622DD13E"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7523BD">
              <w:rPr>
                <w:color w:val="000000"/>
                <w:sz w:val="18"/>
                <w:szCs w:val="18"/>
                <w:lang w:eastAsia="fr-FR"/>
              </w:rPr>
              <w:t>Ministère de l’</w:t>
            </w:r>
            <w:r w:rsidRPr="00002CA8">
              <w:rPr>
                <w:color w:val="000000"/>
                <w:sz w:val="18"/>
                <w:szCs w:val="18"/>
                <w:lang w:eastAsia="fr-FR"/>
              </w:rPr>
              <w:t>Environ</w:t>
            </w:r>
            <w:r w:rsidRPr="007523BD">
              <w:rPr>
                <w:color w:val="000000"/>
                <w:sz w:val="18"/>
                <w:szCs w:val="18"/>
                <w:lang w:eastAsia="fr-FR"/>
              </w:rPr>
              <w:t>nement et Développement Durable</w:t>
            </w:r>
          </w:p>
        </w:tc>
      </w:tr>
      <w:tr w:rsidR="00522415" w:rsidRPr="007523BD" w14:paraId="3EA55A67"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37BC6EA" w14:textId="6889F64F" w:rsidR="00522415" w:rsidRDefault="00522415" w:rsidP="0054038F">
            <w:pPr>
              <w:rPr>
                <w:color w:val="000000"/>
                <w:sz w:val="18"/>
                <w:szCs w:val="18"/>
                <w:lang w:eastAsia="fr-FR"/>
              </w:rPr>
            </w:pPr>
            <w:r>
              <w:rPr>
                <w:color w:val="000000"/>
                <w:sz w:val="18"/>
                <w:szCs w:val="18"/>
                <w:lang w:eastAsia="fr-FR"/>
              </w:rPr>
              <w:t>NIF</w:t>
            </w:r>
          </w:p>
        </w:tc>
        <w:tc>
          <w:tcPr>
            <w:tcW w:w="4146" w:type="pct"/>
          </w:tcPr>
          <w:p w14:paraId="4E8AD1F4" w14:textId="0FBB2D30" w:rsidR="00522415" w:rsidRPr="00A271BE" w:rsidRDefault="00522415"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Numéro Identifiant Fiscal</w:t>
            </w:r>
          </w:p>
        </w:tc>
      </w:tr>
      <w:tr w:rsidR="00A66C88" w:rsidRPr="007523BD" w14:paraId="0D9677F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13A17003" w14:textId="77777777" w:rsidR="00A66C88" w:rsidRPr="007523BD" w:rsidRDefault="00A66C88" w:rsidP="0054038F">
            <w:pPr>
              <w:rPr>
                <w:bCs w:val="0"/>
                <w:color w:val="000000"/>
                <w:sz w:val="18"/>
                <w:szCs w:val="18"/>
                <w:lang w:eastAsia="fr-FR"/>
              </w:rPr>
            </w:pPr>
            <w:r>
              <w:rPr>
                <w:bCs w:val="0"/>
                <w:color w:val="000000"/>
                <w:sz w:val="18"/>
                <w:szCs w:val="18"/>
                <w:lang w:eastAsia="fr-FR"/>
              </w:rPr>
              <w:t>OCC</w:t>
            </w:r>
          </w:p>
        </w:tc>
        <w:tc>
          <w:tcPr>
            <w:tcW w:w="4146" w:type="pct"/>
          </w:tcPr>
          <w:p w14:paraId="3352E13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A271BE">
              <w:rPr>
                <w:color w:val="000000"/>
                <w:sz w:val="18"/>
                <w:szCs w:val="18"/>
                <w:lang w:eastAsia="fr-FR"/>
              </w:rPr>
              <w:t>Office Congolais de Contrôle</w:t>
            </w:r>
          </w:p>
        </w:tc>
      </w:tr>
      <w:tr w:rsidR="00A66C88" w:rsidRPr="007523BD" w14:paraId="3B21487A"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085CE32" w14:textId="77777777" w:rsidR="00A66C88" w:rsidRPr="007523BD" w:rsidRDefault="00A66C88" w:rsidP="0054038F">
            <w:pPr>
              <w:rPr>
                <w:bCs w:val="0"/>
                <w:color w:val="000000"/>
                <w:sz w:val="18"/>
                <w:szCs w:val="18"/>
                <w:lang w:eastAsia="fr-FR"/>
              </w:rPr>
            </w:pPr>
            <w:r>
              <w:rPr>
                <w:bCs w:val="0"/>
                <w:color w:val="000000"/>
                <w:sz w:val="18"/>
                <w:szCs w:val="18"/>
                <w:lang w:eastAsia="fr-FR"/>
              </w:rPr>
              <w:t>OHADA</w:t>
            </w:r>
          </w:p>
        </w:tc>
        <w:tc>
          <w:tcPr>
            <w:tcW w:w="4146" w:type="pct"/>
          </w:tcPr>
          <w:p w14:paraId="0844313B"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fr-FR"/>
              </w:rPr>
            </w:pPr>
            <w:r w:rsidRPr="00002CA8">
              <w:rPr>
                <w:color w:val="000000"/>
                <w:sz w:val="18"/>
                <w:szCs w:val="18"/>
                <w:lang w:eastAsia="fr-FR"/>
              </w:rPr>
              <w:t>Organisation pour l’Harmonisation en Afrique du Droit des Affaires</w:t>
            </w:r>
          </w:p>
        </w:tc>
      </w:tr>
      <w:tr w:rsidR="004521CD" w:rsidRPr="007523BD" w14:paraId="596A9C53"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668A3FC" w14:textId="69FBF337" w:rsidR="004521CD" w:rsidRPr="007523BD" w:rsidRDefault="004521CD" w:rsidP="0054038F">
            <w:pPr>
              <w:rPr>
                <w:color w:val="000000"/>
                <w:sz w:val="18"/>
                <w:szCs w:val="18"/>
                <w:lang w:eastAsia="fr-FR"/>
              </w:rPr>
            </w:pPr>
            <w:r>
              <w:rPr>
                <w:color w:val="000000"/>
                <w:sz w:val="18"/>
                <w:szCs w:val="18"/>
                <w:lang w:eastAsia="fr-FR"/>
              </w:rPr>
              <w:t>ONEM</w:t>
            </w:r>
          </w:p>
        </w:tc>
        <w:tc>
          <w:tcPr>
            <w:tcW w:w="4146" w:type="pct"/>
          </w:tcPr>
          <w:p w14:paraId="2767EFE3" w14:textId="66B684A3" w:rsidR="004521CD" w:rsidRPr="007523BD" w:rsidRDefault="004521CD"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Office National de l’Emploi</w:t>
            </w:r>
          </w:p>
        </w:tc>
      </w:tr>
      <w:tr w:rsidR="00A66C88" w:rsidRPr="007523BD" w14:paraId="4424716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6E631F6"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PAR</w:t>
            </w:r>
          </w:p>
        </w:tc>
        <w:tc>
          <w:tcPr>
            <w:tcW w:w="4146" w:type="pct"/>
            <w:hideMark/>
          </w:tcPr>
          <w:p w14:paraId="48176257"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Programme d’Atténuation et de Réhabilitation</w:t>
            </w:r>
          </w:p>
        </w:tc>
      </w:tr>
      <w:tr w:rsidR="00A66C88" w:rsidRPr="007523BD" w14:paraId="157D0F84"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CB0245C" w14:textId="43C05740" w:rsidR="00A66C88" w:rsidRPr="007523BD" w:rsidRDefault="00A66C88" w:rsidP="0054038F">
            <w:pPr>
              <w:rPr>
                <w:bCs w:val="0"/>
                <w:color w:val="000000"/>
                <w:sz w:val="18"/>
                <w:szCs w:val="18"/>
                <w:lang w:eastAsia="en-GB"/>
              </w:rPr>
            </w:pPr>
            <w:r w:rsidRPr="007523BD">
              <w:rPr>
                <w:bCs w:val="0"/>
                <w:color w:val="000000"/>
                <w:sz w:val="18"/>
                <w:szCs w:val="18"/>
                <w:lang w:eastAsia="fr-FR"/>
              </w:rPr>
              <w:t>PGE</w:t>
            </w:r>
            <w:r>
              <w:rPr>
                <w:color w:val="000000"/>
                <w:sz w:val="18"/>
                <w:szCs w:val="18"/>
                <w:lang w:eastAsia="fr-FR"/>
              </w:rPr>
              <w:t>S</w:t>
            </w:r>
          </w:p>
        </w:tc>
        <w:tc>
          <w:tcPr>
            <w:tcW w:w="4146" w:type="pct"/>
            <w:hideMark/>
          </w:tcPr>
          <w:p w14:paraId="6C6FBB9B" w14:textId="44E0081E"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Plan de Gestion Environnemental</w:t>
            </w:r>
            <w:r>
              <w:rPr>
                <w:color w:val="000000"/>
                <w:sz w:val="18"/>
                <w:szCs w:val="18"/>
                <w:lang w:eastAsia="fr-FR"/>
              </w:rPr>
              <w:t xml:space="preserve"> et Social</w:t>
            </w:r>
          </w:p>
        </w:tc>
      </w:tr>
      <w:tr w:rsidR="00A66C88" w:rsidRPr="007523BD" w14:paraId="6C95ACF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9C8E522"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w:t>
            </w:r>
          </w:p>
        </w:tc>
        <w:tc>
          <w:tcPr>
            <w:tcW w:w="4146" w:type="pct"/>
            <w:hideMark/>
          </w:tcPr>
          <w:p w14:paraId="2B0B53AC"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w:t>
            </w:r>
          </w:p>
        </w:tc>
      </w:tr>
      <w:tr w:rsidR="00A66C88" w:rsidRPr="007523BD" w14:paraId="1D537097"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518BA59"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PER</w:t>
            </w:r>
          </w:p>
        </w:tc>
        <w:tc>
          <w:tcPr>
            <w:tcW w:w="4146" w:type="pct"/>
            <w:hideMark/>
          </w:tcPr>
          <w:p w14:paraId="60B1BAAD"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 des Rejets</w:t>
            </w:r>
          </w:p>
        </w:tc>
      </w:tr>
      <w:tr w:rsidR="004521CD" w:rsidRPr="007523BD" w14:paraId="19B0F22B"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511CC7C2" w14:textId="34472A39" w:rsidR="004521CD" w:rsidRPr="007523BD" w:rsidRDefault="004521CD" w:rsidP="0054038F">
            <w:pPr>
              <w:rPr>
                <w:color w:val="000000"/>
                <w:sz w:val="18"/>
                <w:szCs w:val="18"/>
                <w:lang w:eastAsia="fr-FR"/>
              </w:rPr>
            </w:pPr>
            <w:r>
              <w:rPr>
                <w:color w:val="000000"/>
                <w:sz w:val="18"/>
                <w:szCs w:val="18"/>
                <w:lang w:eastAsia="fr-FR"/>
              </w:rPr>
              <w:t>PIB</w:t>
            </w:r>
          </w:p>
        </w:tc>
        <w:tc>
          <w:tcPr>
            <w:tcW w:w="4146" w:type="pct"/>
          </w:tcPr>
          <w:p w14:paraId="5828361E" w14:textId="0C7B3CB0"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Produit Intérieur Brut</w:t>
            </w:r>
          </w:p>
        </w:tc>
      </w:tr>
      <w:tr w:rsidR="00A66C88" w:rsidRPr="007523BD" w14:paraId="7B3F67B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2513205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PR</w:t>
            </w:r>
          </w:p>
        </w:tc>
        <w:tc>
          <w:tcPr>
            <w:tcW w:w="4146" w:type="pct"/>
            <w:hideMark/>
          </w:tcPr>
          <w:p w14:paraId="69CD122E"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 Recherche</w:t>
            </w:r>
          </w:p>
        </w:tc>
      </w:tr>
      <w:tr w:rsidR="00A66C88" w:rsidRPr="007523BD" w14:paraId="7356E272"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4A7AE518"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PEPM</w:t>
            </w:r>
          </w:p>
        </w:tc>
        <w:tc>
          <w:tcPr>
            <w:tcW w:w="4146" w:type="pct"/>
            <w:hideMark/>
          </w:tcPr>
          <w:p w14:paraId="67B3AF3F"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Permis d'Exploitation de Petite Mine</w:t>
            </w:r>
          </w:p>
        </w:tc>
      </w:tr>
      <w:tr w:rsidR="00A66C88" w:rsidRPr="007523BD" w14:paraId="3DD3F083"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19093B0"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RDC</w:t>
            </w:r>
          </w:p>
        </w:tc>
        <w:tc>
          <w:tcPr>
            <w:tcW w:w="4146" w:type="pct"/>
            <w:hideMark/>
          </w:tcPr>
          <w:p w14:paraId="327E9982"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 xml:space="preserve">République Démocratique du Congo </w:t>
            </w:r>
          </w:p>
        </w:tc>
      </w:tr>
      <w:tr w:rsidR="004521CD" w:rsidRPr="007523BD" w14:paraId="36C12A61"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6FA400E4" w14:textId="2B839BB7" w:rsidR="004521CD" w:rsidRDefault="004521CD" w:rsidP="0054038F">
            <w:pPr>
              <w:rPr>
                <w:color w:val="000000"/>
                <w:sz w:val="18"/>
                <w:szCs w:val="18"/>
                <w:lang w:eastAsia="fr-FR"/>
              </w:rPr>
            </w:pPr>
            <w:r>
              <w:rPr>
                <w:color w:val="000000"/>
                <w:sz w:val="18"/>
                <w:szCs w:val="18"/>
                <w:lang w:eastAsia="fr-FR"/>
              </w:rPr>
              <w:t>SACIM</w:t>
            </w:r>
          </w:p>
        </w:tc>
        <w:tc>
          <w:tcPr>
            <w:tcW w:w="4146" w:type="pct"/>
          </w:tcPr>
          <w:p w14:paraId="01C32723" w14:textId="226F4C1B" w:rsidR="004521C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Société Anhui Congo d’Investissement Minière</w:t>
            </w:r>
          </w:p>
        </w:tc>
      </w:tr>
      <w:tr w:rsidR="00A66C88" w:rsidRPr="007523BD" w14:paraId="68505E08"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521EBF27" w14:textId="6E343D3C" w:rsidR="00A66C88" w:rsidRPr="007523BD" w:rsidRDefault="00A66C88" w:rsidP="0054038F">
            <w:pPr>
              <w:rPr>
                <w:color w:val="000000"/>
                <w:sz w:val="18"/>
                <w:szCs w:val="18"/>
                <w:lang w:eastAsia="fr-FR"/>
              </w:rPr>
            </w:pPr>
            <w:r>
              <w:rPr>
                <w:color w:val="000000"/>
                <w:sz w:val="18"/>
                <w:szCs w:val="18"/>
                <w:lang w:eastAsia="fr-FR"/>
              </w:rPr>
              <w:t>SAEMAP (ex SAESSCAM)</w:t>
            </w:r>
          </w:p>
        </w:tc>
        <w:tc>
          <w:tcPr>
            <w:tcW w:w="4146" w:type="pct"/>
          </w:tcPr>
          <w:p w14:paraId="00982858" w14:textId="24A511B3"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color w:val="000000"/>
                <w:sz w:val="18"/>
                <w:szCs w:val="18"/>
                <w:lang w:eastAsia="fr-FR"/>
              </w:rPr>
            </w:pPr>
            <w:r>
              <w:rPr>
                <w:color w:val="000000"/>
                <w:sz w:val="18"/>
                <w:szCs w:val="18"/>
                <w:lang w:eastAsia="fr-FR"/>
              </w:rPr>
              <w:t>Service d’Assistance et d’encadrement de l’exploitation Minière à Petite échelle</w:t>
            </w:r>
          </w:p>
        </w:tc>
      </w:tr>
      <w:tr w:rsidR="004521CD" w:rsidRPr="007523BD" w14:paraId="6AABD78F"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0C19A3F7" w14:textId="5D796D47" w:rsidR="004521CD" w:rsidRPr="007523BD" w:rsidRDefault="004521CD" w:rsidP="0054038F">
            <w:pPr>
              <w:rPr>
                <w:color w:val="000000"/>
                <w:sz w:val="18"/>
                <w:szCs w:val="18"/>
                <w:lang w:eastAsia="fr-FR"/>
              </w:rPr>
            </w:pPr>
            <w:r>
              <w:rPr>
                <w:color w:val="000000"/>
                <w:sz w:val="18"/>
                <w:szCs w:val="18"/>
                <w:lang w:eastAsia="fr-FR"/>
              </w:rPr>
              <w:t>SAKIMA</w:t>
            </w:r>
          </w:p>
        </w:tc>
        <w:tc>
          <w:tcPr>
            <w:tcW w:w="4146" w:type="pct"/>
          </w:tcPr>
          <w:p w14:paraId="4EB4018A" w14:textId="30F3D5EF"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Société Aurifère du Kivu et de Maniema</w:t>
            </w:r>
          </w:p>
        </w:tc>
      </w:tr>
      <w:tr w:rsidR="00A66C88" w:rsidRPr="007523BD" w14:paraId="6DD4075E"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06BE94BB"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SGH</w:t>
            </w:r>
          </w:p>
        </w:tc>
        <w:tc>
          <w:tcPr>
            <w:tcW w:w="4146" w:type="pct"/>
            <w:hideMark/>
          </w:tcPr>
          <w:p w14:paraId="585C73D1"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Secrétariat Général des Hydrocarbures</w:t>
            </w:r>
          </w:p>
        </w:tc>
      </w:tr>
      <w:tr w:rsidR="004521CD" w:rsidRPr="007523BD" w14:paraId="05D03B33"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tcPr>
          <w:p w14:paraId="38A7231F" w14:textId="207BC881" w:rsidR="004521CD" w:rsidRPr="007523BD" w:rsidRDefault="004521CD" w:rsidP="0054038F">
            <w:pPr>
              <w:rPr>
                <w:color w:val="000000"/>
                <w:sz w:val="18"/>
                <w:szCs w:val="18"/>
                <w:lang w:eastAsia="fr-FR"/>
              </w:rPr>
            </w:pPr>
            <w:r>
              <w:rPr>
                <w:color w:val="000000"/>
                <w:sz w:val="18"/>
                <w:szCs w:val="18"/>
                <w:lang w:eastAsia="fr-FR"/>
              </w:rPr>
              <w:t>SICOMINES</w:t>
            </w:r>
          </w:p>
        </w:tc>
        <w:tc>
          <w:tcPr>
            <w:tcW w:w="4146" w:type="pct"/>
          </w:tcPr>
          <w:p w14:paraId="7EFB3293" w14:textId="47C7C073" w:rsidR="004521CD" w:rsidRPr="007523BD" w:rsidRDefault="004521CD" w:rsidP="0054038F">
            <w:pPr>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Pr>
                <w:color w:val="000000"/>
                <w:sz w:val="18"/>
                <w:szCs w:val="18"/>
                <w:lang w:eastAsia="fr-FR"/>
              </w:rPr>
              <w:t>Sino-congolaise des Mines</w:t>
            </w:r>
          </w:p>
        </w:tc>
      </w:tr>
      <w:tr w:rsidR="00A66C88" w:rsidRPr="007523BD" w14:paraId="63832122"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7A2B974F"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ST</w:t>
            </w:r>
          </w:p>
        </w:tc>
        <w:tc>
          <w:tcPr>
            <w:tcW w:w="4146" w:type="pct"/>
            <w:hideMark/>
          </w:tcPr>
          <w:p w14:paraId="75589CC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en-GB"/>
              </w:rPr>
            </w:pPr>
            <w:r w:rsidRPr="007523BD">
              <w:rPr>
                <w:color w:val="000000"/>
                <w:sz w:val="18"/>
                <w:szCs w:val="18"/>
                <w:lang w:eastAsia="fr-FR"/>
              </w:rPr>
              <w:t>Secrétariat Technique</w:t>
            </w:r>
          </w:p>
        </w:tc>
      </w:tr>
      <w:tr w:rsidR="00A66C88" w:rsidRPr="007523BD" w14:paraId="1A16F954"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389B0106"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TVA</w:t>
            </w:r>
          </w:p>
        </w:tc>
        <w:tc>
          <w:tcPr>
            <w:tcW w:w="4146" w:type="pct"/>
            <w:hideMark/>
          </w:tcPr>
          <w:p w14:paraId="2D831DB2"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Taxe sur la Valeur Ajoutée</w:t>
            </w:r>
          </w:p>
        </w:tc>
      </w:tr>
      <w:tr w:rsidR="00A66C88" w:rsidRPr="007523BD" w14:paraId="5FD3952D" w14:textId="77777777" w:rsidTr="000F6775">
        <w:trPr>
          <w:trHeight w:val="255"/>
        </w:trPr>
        <w:tc>
          <w:tcPr>
            <w:cnfStyle w:val="001000000000" w:firstRow="0" w:lastRow="0" w:firstColumn="1" w:lastColumn="0" w:oddVBand="0" w:evenVBand="0" w:oddHBand="0" w:evenHBand="0" w:firstRowFirstColumn="0" w:firstRowLastColumn="0" w:lastRowFirstColumn="0" w:lastRowLastColumn="0"/>
            <w:tcW w:w="854" w:type="pct"/>
          </w:tcPr>
          <w:p w14:paraId="7E67BFD0" w14:textId="77777777" w:rsidR="00A66C88" w:rsidRPr="007523BD" w:rsidRDefault="00A66C88" w:rsidP="0054038F">
            <w:pPr>
              <w:rPr>
                <w:bCs w:val="0"/>
                <w:color w:val="000000"/>
                <w:sz w:val="18"/>
                <w:szCs w:val="18"/>
                <w:lang w:eastAsia="fr-FR"/>
              </w:rPr>
            </w:pPr>
            <w:r w:rsidRPr="007523BD">
              <w:rPr>
                <w:bCs w:val="0"/>
                <w:color w:val="000000"/>
                <w:sz w:val="18"/>
                <w:szCs w:val="18"/>
                <w:lang w:eastAsia="fr-FR"/>
              </w:rPr>
              <w:t>TVD</w:t>
            </w:r>
          </w:p>
        </w:tc>
        <w:tc>
          <w:tcPr>
            <w:tcW w:w="4146" w:type="pct"/>
          </w:tcPr>
          <w:p w14:paraId="6D368685" w14:textId="77777777" w:rsidR="00A66C88" w:rsidRPr="007523BD" w:rsidRDefault="00A66C88" w:rsidP="0054038F">
            <w:pPr>
              <w:cnfStyle w:val="000000000000" w:firstRow="0" w:lastRow="0" w:firstColumn="0" w:lastColumn="0" w:oddVBand="0" w:evenVBand="0" w:oddHBand="0" w:evenHBand="0" w:firstRowFirstColumn="0" w:firstRowLastColumn="0" w:lastRowFirstColumn="0" w:lastRowLastColumn="0"/>
              <w:rPr>
                <w:bCs/>
                <w:color w:val="000000"/>
                <w:sz w:val="18"/>
                <w:szCs w:val="18"/>
                <w:lang w:eastAsia="fr-FR"/>
              </w:rPr>
            </w:pPr>
            <w:r w:rsidRPr="007523BD">
              <w:rPr>
                <w:color w:val="000000"/>
                <w:sz w:val="18"/>
                <w:szCs w:val="18"/>
                <w:lang w:eastAsia="fr-FR"/>
              </w:rPr>
              <w:t>Taxe voiries et drainage</w:t>
            </w:r>
          </w:p>
        </w:tc>
      </w:tr>
      <w:tr w:rsidR="00A66C88" w:rsidRPr="007523BD" w14:paraId="7045E837" w14:textId="77777777" w:rsidTr="000F67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54" w:type="pct"/>
            <w:hideMark/>
          </w:tcPr>
          <w:p w14:paraId="530EB8BC" w14:textId="77777777" w:rsidR="00A66C88" w:rsidRPr="007523BD" w:rsidRDefault="00A66C88" w:rsidP="0054038F">
            <w:pPr>
              <w:rPr>
                <w:bCs w:val="0"/>
                <w:color w:val="000000"/>
                <w:sz w:val="18"/>
                <w:szCs w:val="18"/>
                <w:lang w:eastAsia="en-GB"/>
              </w:rPr>
            </w:pPr>
            <w:r w:rsidRPr="007523BD">
              <w:rPr>
                <w:bCs w:val="0"/>
                <w:color w:val="000000"/>
                <w:sz w:val="18"/>
                <w:szCs w:val="18"/>
                <w:lang w:eastAsia="fr-FR"/>
              </w:rPr>
              <w:t>USD</w:t>
            </w:r>
          </w:p>
        </w:tc>
        <w:tc>
          <w:tcPr>
            <w:tcW w:w="4146" w:type="pct"/>
            <w:hideMark/>
          </w:tcPr>
          <w:p w14:paraId="76D1F8E2" w14:textId="77777777" w:rsidR="00A66C88" w:rsidRPr="007523BD" w:rsidRDefault="00A66C88" w:rsidP="0054038F">
            <w:pPr>
              <w:cnfStyle w:val="000000100000" w:firstRow="0" w:lastRow="0" w:firstColumn="0" w:lastColumn="0" w:oddVBand="0" w:evenVBand="0" w:oddHBand="1" w:evenHBand="0" w:firstRowFirstColumn="0" w:firstRowLastColumn="0" w:lastRowFirstColumn="0" w:lastRowLastColumn="0"/>
              <w:rPr>
                <w:bCs/>
                <w:color w:val="000000"/>
                <w:sz w:val="18"/>
                <w:szCs w:val="18"/>
                <w:lang w:eastAsia="en-GB"/>
              </w:rPr>
            </w:pPr>
            <w:r w:rsidRPr="007523BD">
              <w:rPr>
                <w:color w:val="000000"/>
                <w:sz w:val="18"/>
                <w:szCs w:val="18"/>
                <w:lang w:eastAsia="fr-FR"/>
              </w:rPr>
              <w:t>Dollar des Etats-Unis d’Amérique (KUSD = mille dollars américains)</w:t>
            </w:r>
          </w:p>
        </w:tc>
      </w:tr>
    </w:tbl>
    <w:p w14:paraId="14748638" w14:textId="77777777" w:rsidR="00112CA3" w:rsidRDefault="00112CA3" w:rsidP="009F0B58">
      <w:pPr>
        <w:rPr>
          <w:rFonts w:ascii="Times New Roman" w:hAnsi="Times New Roman"/>
          <w:b/>
        </w:rPr>
      </w:pPr>
    </w:p>
    <w:p w14:paraId="6BF79E81" w14:textId="554DC166" w:rsidR="009F0B58" w:rsidRPr="00112CA3" w:rsidRDefault="009F0B58" w:rsidP="00112CA3">
      <w:pPr>
        <w:pStyle w:val="Titre1"/>
        <w:spacing w:line="360" w:lineRule="auto"/>
        <w:rPr>
          <w:rFonts w:ascii="Times New Roman" w:hAnsi="Times New Roman" w:cs="Times New Roman"/>
          <w:sz w:val="32"/>
        </w:rPr>
      </w:pPr>
      <w:bookmarkStart w:id="6" w:name="_Toc518468043"/>
      <w:r w:rsidRPr="00112CA3">
        <w:rPr>
          <w:rFonts w:ascii="Times New Roman" w:hAnsi="Times New Roman" w:cs="Times New Roman"/>
          <w:sz w:val="32"/>
        </w:rPr>
        <w:lastRenderedPageBreak/>
        <w:t>Résumé exécutif</w:t>
      </w:r>
      <w:bookmarkEnd w:id="6"/>
    </w:p>
    <w:p w14:paraId="25013D85" w14:textId="77777777" w:rsidR="009F0B58" w:rsidRPr="00533CC7" w:rsidRDefault="009F0B58" w:rsidP="00997119">
      <w:pPr>
        <w:spacing w:line="276" w:lineRule="auto"/>
        <w:jc w:val="both"/>
        <w:rPr>
          <w:rFonts w:ascii="Times New Roman" w:hAnsi="Times New Roman"/>
          <w:sz w:val="24"/>
          <w:szCs w:val="24"/>
        </w:rPr>
      </w:pPr>
      <w:r w:rsidRPr="00533CC7">
        <w:rPr>
          <w:rFonts w:ascii="Times New Roman" w:hAnsi="Times New Roman"/>
          <w:sz w:val="24"/>
          <w:szCs w:val="24"/>
        </w:rPr>
        <w:t>Le présent rapport est dit « </w:t>
      </w:r>
      <w:r w:rsidRPr="00E2672E">
        <w:rPr>
          <w:rFonts w:ascii="Times New Roman" w:hAnsi="Times New Roman"/>
          <w:b/>
          <w:color w:val="171717" w:themeColor="background2" w:themeShade="1A"/>
          <w:sz w:val="24"/>
          <w:szCs w:val="24"/>
        </w:rPr>
        <w:t>contextuel</w:t>
      </w:r>
      <w:r w:rsidRPr="00533CC7">
        <w:rPr>
          <w:rFonts w:ascii="Times New Roman" w:hAnsi="Times New Roman"/>
          <w:sz w:val="24"/>
          <w:szCs w:val="24"/>
        </w:rPr>
        <w:t xml:space="preserve"> » parce qu’il contient des informations qui facilitent la compréhension et la bonne utilisation des données du Rapport de conciliation ITIE-RDC 2016 en élaboration. </w:t>
      </w:r>
    </w:p>
    <w:p w14:paraId="3BA1E5D8" w14:textId="77777777" w:rsidR="009F0B58" w:rsidRPr="00533CC7" w:rsidRDefault="009F0B58" w:rsidP="00997119">
      <w:pPr>
        <w:spacing w:line="276" w:lineRule="auto"/>
        <w:jc w:val="both"/>
        <w:rPr>
          <w:rFonts w:ascii="Times New Roman" w:hAnsi="Times New Roman"/>
          <w:sz w:val="24"/>
          <w:szCs w:val="24"/>
        </w:rPr>
      </w:pPr>
      <w:r w:rsidRPr="00533CC7">
        <w:rPr>
          <w:rFonts w:ascii="Times New Roman" w:hAnsi="Times New Roman"/>
          <w:sz w:val="24"/>
          <w:szCs w:val="24"/>
        </w:rPr>
        <w:t>Il permet aux citoyens de cerner le contexte dans lequel seront fournies les informations dudit rapport de conciliation, c’est-à-dire les paiements effectués par les industries extractives et les revenus collectés par les régies financières et les autres entités de l’Etat.</w:t>
      </w:r>
    </w:p>
    <w:p w14:paraId="4CFB50BB" w14:textId="04AB9017" w:rsidR="009F0B58" w:rsidRPr="00533CC7" w:rsidRDefault="009F0B58" w:rsidP="00997119">
      <w:pPr>
        <w:spacing w:line="276" w:lineRule="auto"/>
        <w:jc w:val="both"/>
        <w:rPr>
          <w:rFonts w:ascii="Times New Roman" w:hAnsi="Times New Roman"/>
        </w:rPr>
      </w:pPr>
      <w:r w:rsidRPr="00533CC7">
        <w:rPr>
          <w:rFonts w:ascii="Times New Roman" w:hAnsi="Times New Roman"/>
          <w:sz w:val="24"/>
          <w:szCs w:val="24"/>
        </w:rPr>
        <w:t xml:space="preserve">Il fournit les informations disponibles les plus récentes sur les points suivants articulés en onze chapitres : </w:t>
      </w:r>
      <w:r w:rsidRPr="00533CC7">
        <w:rPr>
          <w:rFonts w:ascii="Times New Roman" w:hAnsi="Times New Roman"/>
          <w:i/>
          <w:sz w:val="16"/>
          <w:szCs w:val="16"/>
        </w:rPr>
        <w:t>(1)</w:t>
      </w:r>
      <w:r w:rsidRPr="00533CC7">
        <w:rPr>
          <w:rFonts w:ascii="Times New Roman" w:hAnsi="Times New Roman"/>
          <w:sz w:val="24"/>
          <w:szCs w:val="24"/>
        </w:rPr>
        <w:t xml:space="preserve"> </w:t>
      </w:r>
      <w:bookmarkStart w:id="7" w:name="_Toc518314059"/>
      <w:r w:rsidRPr="00533CC7">
        <w:rPr>
          <w:rFonts w:ascii="Times New Roman" w:hAnsi="Times New Roman"/>
        </w:rPr>
        <w:t>cadre légal et régime fiscal applicables aux industries minières et pétrolières en RDC</w:t>
      </w:r>
      <w:bookmarkEnd w:id="7"/>
      <w:r w:rsidRPr="00533CC7">
        <w:rPr>
          <w:rFonts w:ascii="Times New Roman" w:hAnsi="Times New Roman"/>
        </w:rPr>
        <w:t xml:space="preserve"> ; </w:t>
      </w:r>
      <w:r w:rsidRPr="00533CC7">
        <w:rPr>
          <w:rFonts w:ascii="Times New Roman" w:hAnsi="Times New Roman"/>
          <w:i/>
          <w:sz w:val="16"/>
          <w:szCs w:val="16"/>
        </w:rPr>
        <w:t>(2)</w:t>
      </w:r>
      <w:r w:rsidRPr="00533CC7">
        <w:rPr>
          <w:rFonts w:ascii="Times New Roman" w:hAnsi="Times New Roman"/>
        </w:rPr>
        <w:t xml:space="preserve"> </w:t>
      </w:r>
      <w:bookmarkStart w:id="8" w:name="_Toc518314073"/>
      <w:r w:rsidRPr="00533CC7">
        <w:rPr>
          <w:rFonts w:ascii="Times New Roman" w:hAnsi="Times New Roman"/>
        </w:rPr>
        <w:t xml:space="preserve">octroi des droits miniers et </w:t>
      </w:r>
      <w:bookmarkEnd w:id="8"/>
      <w:r w:rsidRPr="00533CC7">
        <w:rPr>
          <w:rFonts w:ascii="Times New Roman" w:hAnsi="Times New Roman"/>
        </w:rPr>
        <w:t>pétroliers ;</w:t>
      </w:r>
      <w:bookmarkStart w:id="9" w:name="_Toc518314082"/>
      <w:r w:rsidRPr="00533CC7">
        <w:rPr>
          <w:rFonts w:ascii="Times New Roman" w:hAnsi="Times New Roman"/>
        </w:rPr>
        <w:t xml:space="preserve"> </w:t>
      </w:r>
      <w:r w:rsidRPr="00533CC7">
        <w:rPr>
          <w:rFonts w:ascii="Times New Roman" w:hAnsi="Times New Roman"/>
          <w:i/>
          <w:sz w:val="16"/>
          <w:szCs w:val="16"/>
        </w:rPr>
        <w:t>(3)</w:t>
      </w:r>
      <w:r w:rsidRPr="00533CC7">
        <w:rPr>
          <w:rFonts w:ascii="Times New Roman" w:hAnsi="Times New Roman"/>
        </w:rPr>
        <w:t xml:space="preserve"> Registre des droits</w:t>
      </w:r>
      <w:bookmarkEnd w:id="9"/>
      <w:r w:rsidRPr="00533CC7">
        <w:rPr>
          <w:rFonts w:ascii="Times New Roman" w:hAnsi="Times New Roman"/>
        </w:rPr>
        <w:t xml:space="preserve"> ; </w:t>
      </w:r>
      <w:bookmarkStart w:id="10" w:name="_Toc518314085"/>
      <w:r w:rsidRPr="00533CC7">
        <w:rPr>
          <w:rFonts w:ascii="Times New Roman" w:hAnsi="Times New Roman"/>
          <w:i/>
          <w:sz w:val="16"/>
          <w:szCs w:val="16"/>
        </w:rPr>
        <w:t>(4)</w:t>
      </w:r>
      <w:r w:rsidRPr="00533CC7">
        <w:rPr>
          <w:rFonts w:ascii="Times New Roman" w:hAnsi="Times New Roman"/>
          <w:i/>
          <w:sz w:val="24"/>
          <w:szCs w:val="24"/>
        </w:rPr>
        <w:t xml:space="preserve"> </w:t>
      </w:r>
      <w:r w:rsidRPr="00533CC7">
        <w:rPr>
          <w:rFonts w:ascii="Times New Roman" w:hAnsi="Times New Roman"/>
        </w:rPr>
        <w:t xml:space="preserve">politique de publication des contrats miniers et </w:t>
      </w:r>
      <w:bookmarkEnd w:id="10"/>
      <w:r w:rsidRPr="00533CC7">
        <w:rPr>
          <w:rFonts w:ascii="Times New Roman" w:hAnsi="Times New Roman"/>
        </w:rPr>
        <w:t xml:space="preserve">pétroliers ; </w:t>
      </w:r>
      <w:bookmarkStart w:id="11" w:name="_Toc518314086"/>
      <w:r w:rsidRPr="00533CC7">
        <w:rPr>
          <w:rFonts w:ascii="Times New Roman" w:hAnsi="Times New Roman"/>
          <w:i/>
          <w:sz w:val="16"/>
          <w:szCs w:val="16"/>
        </w:rPr>
        <w:t>(5)</w:t>
      </w:r>
      <w:r w:rsidRPr="00533CC7">
        <w:rPr>
          <w:rFonts w:ascii="Times New Roman" w:hAnsi="Times New Roman"/>
        </w:rPr>
        <w:t xml:space="preserve"> propriété réelle</w:t>
      </w:r>
      <w:bookmarkEnd w:id="11"/>
      <w:r w:rsidRPr="00533CC7">
        <w:rPr>
          <w:rFonts w:ascii="Times New Roman" w:hAnsi="Times New Roman"/>
        </w:rPr>
        <w:t> ;</w:t>
      </w:r>
      <w:bookmarkStart w:id="12" w:name="_Toc518314089"/>
      <w:r w:rsidRPr="00533CC7">
        <w:rPr>
          <w:rFonts w:ascii="Times New Roman" w:hAnsi="Times New Roman"/>
        </w:rPr>
        <w:t xml:space="preserve"> </w:t>
      </w:r>
      <w:r w:rsidRPr="00533CC7">
        <w:rPr>
          <w:rFonts w:ascii="Times New Roman" w:hAnsi="Times New Roman"/>
          <w:i/>
          <w:sz w:val="16"/>
          <w:szCs w:val="16"/>
        </w:rPr>
        <w:t>(6)</w:t>
      </w:r>
      <w:r w:rsidRPr="00533CC7">
        <w:rPr>
          <w:rFonts w:ascii="Times New Roman" w:hAnsi="Times New Roman"/>
          <w:i/>
          <w:sz w:val="24"/>
          <w:szCs w:val="24"/>
        </w:rPr>
        <w:t xml:space="preserve"> </w:t>
      </w:r>
      <w:r w:rsidRPr="00533CC7">
        <w:rPr>
          <w:rFonts w:ascii="Times New Roman" w:hAnsi="Times New Roman"/>
        </w:rPr>
        <w:t>prospection, production et exportation</w:t>
      </w:r>
      <w:bookmarkEnd w:id="12"/>
      <w:r w:rsidRPr="00533CC7">
        <w:rPr>
          <w:rFonts w:ascii="Times New Roman" w:hAnsi="Times New Roman"/>
        </w:rPr>
        <w:t>s ;</w:t>
      </w:r>
      <w:bookmarkStart w:id="13" w:name="_Toc518314099"/>
      <w:r w:rsidRPr="00533CC7">
        <w:rPr>
          <w:rFonts w:ascii="Times New Roman" w:hAnsi="Times New Roman"/>
        </w:rPr>
        <w:t xml:space="preserve"> </w:t>
      </w:r>
      <w:r w:rsidRPr="00533CC7">
        <w:rPr>
          <w:rFonts w:ascii="Times New Roman" w:hAnsi="Times New Roman"/>
          <w:i/>
          <w:sz w:val="16"/>
          <w:szCs w:val="16"/>
        </w:rPr>
        <w:t>(7)</w:t>
      </w:r>
      <w:r w:rsidRPr="00533CC7">
        <w:rPr>
          <w:rFonts w:ascii="Times New Roman" w:hAnsi="Times New Roman"/>
        </w:rPr>
        <w:t xml:space="preserve"> transferts infranationaux</w:t>
      </w:r>
      <w:bookmarkStart w:id="14" w:name="_Toc518314102"/>
      <w:bookmarkEnd w:id="13"/>
      <w:r w:rsidRPr="00533CC7">
        <w:rPr>
          <w:rFonts w:ascii="Times New Roman" w:hAnsi="Times New Roman"/>
        </w:rPr>
        <w:t xml:space="preserve"> ; </w:t>
      </w:r>
      <w:r w:rsidRPr="00533CC7">
        <w:rPr>
          <w:rFonts w:ascii="Times New Roman" w:hAnsi="Times New Roman"/>
          <w:i/>
          <w:sz w:val="16"/>
          <w:szCs w:val="16"/>
        </w:rPr>
        <w:t>(8)</w:t>
      </w:r>
      <w:r w:rsidRPr="00533CC7">
        <w:rPr>
          <w:rFonts w:ascii="Times New Roman" w:hAnsi="Times New Roman"/>
        </w:rPr>
        <w:t xml:space="preserve"> </w:t>
      </w:r>
      <w:bookmarkStart w:id="15" w:name="_Toc518314103"/>
      <w:bookmarkEnd w:id="14"/>
      <w:r w:rsidRPr="00533CC7">
        <w:rPr>
          <w:rFonts w:ascii="Times New Roman" w:hAnsi="Times New Roman"/>
        </w:rPr>
        <w:t>contribution économique et sociale du secteur extractif </w:t>
      </w:r>
      <w:bookmarkEnd w:id="15"/>
      <w:r w:rsidRPr="00533CC7">
        <w:rPr>
          <w:rFonts w:ascii="Times New Roman" w:hAnsi="Times New Roman"/>
        </w:rPr>
        <w:t xml:space="preserve">; </w:t>
      </w:r>
      <w:r w:rsidRPr="00533CC7">
        <w:rPr>
          <w:rFonts w:ascii="Times New Roman" w:hAnsi="Times New Roman"/>
          <w:i/>
          <w:sz w:val="16"/>
          <w:szCs w:val="16"/>
        </w:rPr>
        <w:t>(9)</w:t>
      </w:r>
      <w:bookmarkStart w:id="16" w:name="_Toc518314110"/>
      <w:r w:rsidRPr="00533CC7">
        <w:rPr>
          <w:rFonts w:ascii="Times New Roman" w:hAnsi="Times New Roman"/>
        </w:rPr>
        <w:t xml:space="preserve"> participation de l’Etat et </w:t>
      </w:r>
      <w:r w:rsidR="00E62198">
        <w:rPr>
          <w:rFonts w:ascii="Times New Roman" w:hAnsi="Times New Roman"/>
        </w:rPr>
        <w:t xml:space="preserve">la </w:t>
      </w:r>
      <w:r w:rsidRPr="00533CC7">
        <w:rPr>
          <w:rFonts w:ascii="Times New Roman" w:hAnsi="Times New Roman"/>
        </w:rPr>
        <w:t>situation spécifique des  EPE</w:t>
      </w:r>
      <w:bookmarkEnd w:id="16"/>
      <w:r w:rsidRPr="00533CC7">
        <w:rPr>
          <w:rFonts w:ascii="Times New Roman" w:hAnsi="Times New Roman"/>
        </w:rPr>
        <w:t xml:space="preserve"> ; </w:t>
      </w:r>
      <w:r w:rsidRPr="00533CC7">
        <w:rPr>
          <w:rFonts w:ascii="Times New Roman" w:hAnsi="Times New Roman"/>
          <w:i/>
          <w:sz w:val="16"/>
          <w:szCs w:val="16"/>
        </w:rPr>
        <w:t>(10)</w:t>
      </w:r>
      <w:r w:rsidRPr="00533CC7">
        <w:rPr>
          <w:rFonts w:ascii="Times New Roman" w:hAnsi="Times New Roman"/>
        </w:rPr>
        <w:t xml:space="preserve"> </w:t>
      </w:r>
      <w:bookmarkStart w:id="17" w:name="_Toc518314123"/>
      <w:r w:rsidRPr="00533CC7">
        <w:rPr>
          <w:rFonts w:ascii="Times New Roman" w:hAnsi="Times New Roman"/>
        </w:rPr>
        <w:t xml:space="preserve">processus </w:t>
      </w:r>
      <w:bookmarkEnd w:id="17"/>
      <w:r w:rsidR="00764894">
        <w:rPr>
          <w:rFonts w:ascii="Times New Roman" w:hAnsi="Times New Roman"/>
        </w:rPr>
        <w:t>d’élaboration du budget</w:t>
      </w:r>
      <w:r w:rsidRPr="00533CC7">
        <w:rPr>
          <w:rFonts w:ascii="Times New Roman" w:hAnsi="Times New Roman"/>
        </w:rPr>
        <w:t xml:space="preserve"> et </w:t>
      </w:r>
      <w:bookmarkStart w:id="18" w:name="_Toc518314126"/>
      <w:r w:rsidRPr="00533CC7">
        <w:rPr>
          <w:rFonts w:ascii="Times New Roman" w:hAnsi="Times New Roman"/>
          <w:i/>
          <w:sz w:val="16"/>
          <w:szCs w:val="16"/>
        </w:rPr>
        <w:t>(11)</w:t>
      </w:r>
      <w:r w:rsidRPr="00533CC7">
        <w:rPr>
          <w:rFonts w:ascii="Times New Roman" w:hAnsi="Times New Roman"/>
        </w:rPr>
        <w:t xml:space="preserve"> </w:t>
      </w:r>
      <w:r w:rsidR="00764894">
        <w:rPr>
          <w:rFonts w:ascii="Times New Roman" w:hAnsi="Times New Roman"/>
        </w:rPr>
        <w:t>évaluation de l’exécution</w:t>
      </w:r>
      <w:r w:rsidRPr="00533CC7">
        <w:rPr>
          <w:rFonts w:ascii="Times New Roman" w:hAnsi="Times New Roman"/>
        </w:rPr>
        <w:t xml:space="preserve"> des recommandations issues du rapportage ITIE</w:t>
      </w:r>
      <w:bookmarkEnd w:id="18"/>
      <w:r w:rsidRPr="00533CC7">
        <w:rPr>
          <w:rFonts w:ascii="Times New Roman" w:hAnsi="Times New Roman"/>
        </w:rPr>
        <w:t>.</w:t>
      </w:r>
    </w:p>
    <w:p w14:paraId="6054F7CA"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relatif au cadre légal et au régime fiscal applicables aux industries minières et pétrolières en RDC donne un aperçu des lois et règlements appliqués dans les secteurs minier et pétrolier congolais tout en confrontant, au besoin, la théorie à la pratique.  Il souligne également les réformes qui sont entreprises ou envisagées dans ces secteurs et décrit, dans des tableaux annexes, les flux des revenus nationaux, infranationaux et ceux encadrés par les Entreprises du Portefeuille de l’Etat (EPE).</w:t>
      </w:r>
    </w:p>
    <w:p w14:paraId="36B2E2C4" w14:textId="77777777" w:rsidR="009F0B58" w:rsidRPr="00533CC7" w:rsidRDefault="009F0B58" w:rsidP="00997119">
      <w:pPr>
        <w:spacing w:line="276" w:lineRule="auto"/>
        <w:jc w:val="both"/>
        <w:rPr>
          <w:rFonts w:ascii="Times New Roman" w:hAnsi="Times New Roman"/>
        </w:rPr>
      </w:pPr>
      <w:r w:rsidRPr="00533CC7">
        <w:rPr>
          <w:rFonts w:ascii="Times New Roman" w:eastAsia="Times New Roman" w:hAnsi="Times New Roman"/>
          <w:sz w:val="24"/>
          <w:szCs w:val="24"/>
          <w:lang w:eastAsia="fr-FR"/>
        </w:rPr>
        <w:t>Les chapitres 2 et 3 fournissent des informations sur les procédures d'attribution des droits miniers et pétroliers appliquées par le CAMI et le SGH. A cet effet, le rapport décrit les procédures par appel d’offres pour les deux secteurs et la procédure par demande des droits pour le secteur minier. Il présente aussi les registres ainsi que les informations qu’ils contiennent.</w:t>
      </w:r>
    </w:p>
    <w:p w14:paraId="07B23FA4" w14:textId="77777777" w:rsidR="009F0B58" w:rsidRPr="00533CC7" w:rsidRDefault="009F0B58" w:rsidP="00997119">
      <w:pPr>
        <w:spacing w:after="0" w:line="276" w:lineRule="auto"/>
        <w:jc w:val="both"/>
        <w:rPr>
          <w:rFonts w:ascii="Times New Roman" w:hAnsi="Times New Roman"/>
        </w:rPr>
      </w:pPr>
      <w:r w:rsidRPr="00533CC7">
        <w:rPr>
          <w:rFonts w:ascii="Times New Roman" w:eastAsia="Times New Roman" w:hAnsi="Times New Roman"/>
          <w:color w:val="000000"/>
          <w:sz w:val="24"/>
          <w:szCs w:val="24"/>
          <w:lang w:eastAsia="fr-FR"/>
        </w:rPr>
        <w:t>Le chapitre 4 décrit la politique et la pratique de publication des contrats et leurs annexes.</w:t>
      </w:r>
      <w:r w:rsidRPr="00533CC7">
        <w:rPr>
          <w:rFonts w:ascii="Times New Roman" w:eastAsia="Times New Roman" w:hAnsi="Times New Roman"/>
          <w:color w:val="000000"/>
          <w:sz w:val="24"/>
          <w:szCs w:val="24"/>
          <w:highlight w:val="yellow"/>
          <w:lang w:eastAsia="fr-FR"/>
        </w:rPr>
        <w:t xml:space="preserve">    </w:t>
      </w:r>
    </w:p>
    <w:p w14:paraId="5C402029" w14:textId="77777777" w:rsidR="009F0B58" w:rsidRPr="00533CC7" w:rsidRDefault="009F0B58" w:rsidP="00997119">
      <w:pPr>
        <w:spacing w:before="240" w:line="276" w:lineRule="auto"/>
        <w:jc w:val="both"/>
        <w:rPr>
          <w:rFonts w:ascii="Times New Roman" w:hAnsi="Times New Roman"/>
        </w:rPr>
      </w:pPr>
      <w:r w:rsidRPr="00533CC7">
        <w:rPr>
          <w:rFonts w:ascii="Times New Roman" w:eastAsia="Times New Roman" w:hAnsi="Times New Roman"/>
          <w:sz w:val="24"/>
          <w:szCs w:val="24"/>
          <w:lang w:eastAsia="fr-FR"/>
        </w:rPr>
        <w:t>Le chapitre 5 contient les informations fournies par les entreprises sur les bénéficiaires effectifs des revenus qu’elles génèrent.  Il présente un état indicatif du résultat de la divulgation ainsi que des options levées par le Comité Exécutif dans le cadre du projet sur la propriété réelle et le niveau d’exécution de sa Feuille de route.</w:t>
      </w:r>
    </w:p>
    <w:p w14:paraId="231EBDD5"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Le chapitre 6 renseigne sur l’activité de prospection menée ainsi que les données de production et des exportations des industries extractives.</w:t>
      </w:r>
    </w:p>
    <w:p w14:paraId="6D654E4C"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7 présente le mécanisme de transfert de la redevance minière, du Gouvernement Central aux provinces et aux ETD, conformément à la clé de répartition fixée par la Constitution, le Code minier ou les règlements.</w:t>
      </w:r>
    </w:p>
    <w:p w14:paraId="6279A31B" w14:textId="77777777" w:rsidR="009F0B58" w:rsidRPr="00533CC7" w:rsidRDefault="009F0B58" w:rsidP="00997119">
      <w:pPr>
        <w:spacing w:line="276" w:lineRule="auto"/>
        <w:jc w:val="both"/>
        <w:rPr>
          <w:rFonts w:ascii="Times New Roman" w:hAnsi="Times New Roman"/>
        </w:rPr>
      </w:pPr>
      <w:r w:rsidRPr="00533CC7">
        <w:rPr>
          <w:rFonts w:ascii="Times New Roman" w:hAnsi="Times New Roman"/>
        </w:rPr>
        <w:t>Le chapitre 8 renseigne sur les contributions sociales des entreprises réalisées au profit des communautés affectées par l’exploitation. Il contient des informations utiles du secteur extractif en termes de contribution au PIB, à l’emploi,  aux exportations, etc.  Il donne aussi une évaluation de la contribution du secteur informel, particulièrement celle de l’artisanat minier.</w:t>
      </w:r>
    </w:p>
    <w:p w14:paraId="6F73396B"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lastRenderedPageBreak/>
        <w:t>Le chapitre 9 traite de la participation de l’Etat et examine la situation spécifique des  EPE. Il contient notamment des informations sur la description des règles et pratiques de la relation financière entre le Gouvernement et les EPE, les participations directes et indirectes de l’Etat dans les industries  extractives, les diverses transactions menées ainsi que les  dépenses quasi fiscales engagées par les EPE. Une fiche signalétique contenant des informations spécifiques à chaque EPE est annexée à ce chapitre.</w:t>
      </w:r>
    </w:p>
    <w:p w14:paraId="326EAC51"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Le chapitre 10 brosse succinctement le processus d’élaboration du budget, résume la loi des Finances Publiques de 2011(la LOFIP) qui définit les principes de gestion des finances publiques et la politique budgétaire.</w:t>
      </w:r>
    </w:p>
    <w:p w14:paraId="5AD56F5F" w14:textId="77777777"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 xml:space="preserve">En fin, le chapitre 11 revient sur le niveau d’exécution des recommandations contenues dans les rapports ITIE-RDC précédents, en précisant les celles qui ont été exécutées et celles qui sont en cours d’exécution. </w:t>
      </w:r>
    </w:p>
    <w:p w14:paraId="491E8872" w14:textId="5125B4DC" w:rsidR="009F0B58" w:rsidRPr="00533CC7" w:rsidRDefault="009F0B58" w:rsidP="00997119">
      <w:pPr>
        <w:spacing w:before="240" w:line="276" w:lineRule="auto"/>
        <w:jc w:val="both"/>
        <w:rPr>
          <w:rFonts w:ascii="Times New Roman" w:hAnsi="Times New Roman"/>
        </w:rPr>
      </w:pPr>
      <w:r w:rsidRPr="00533CC7">
        <w:rPr>
          <w:rFonts w:ascii="Times New Roman" w:hAnsi="Times New Roman"/>
        </w:rPr>
        <w:t xml:space="preserve">Chacun de ces chapitres contient une liste des recommandations, selon la nécessité </w:t>
      </w:r>
      <w:r w:rsidR="00553BF2">
        <w:rPr>
          <w:rFonts w:ascii="Times New Roman" w:hAnsi="Times New Roman"/>
        </w:rPr>
        <w:t>=</w:t>
      </w:r>
      <w:r w:rsidRPr="00533CC7">
        <w:rPr>
          <w:rFonts w:ascii="Times New Roman" w:hAnsi="Times New Roman"/>
        </w:rPr>
        <w:t>des faits constatés.</w:t>
      </w:r>
    </w:p>
    <w:p w14:paraId="3ABF3EDA" w14:textId="7B5FEF6E" w:rsidR="00A66C88" w:rsidRDefault="00A66C88">
      <w:pPr>
        <w:rPr>
          <w:rFonts w:ascii="Times New Roman" w:eastAsiaTheme="majorEastAsia" w:hAnsi="Times New Roman" w:cstheme="majorBidi"/>
          <w:caps/>
          <w:color w:val="5B9BD5" w:themeColor="accent1"/>
          <w:spacing w:val="14"/>
          <w:sz w:val="28"/>
          <w:szCs w:val="28"/>
        </w:rPr>
      </w:pPr>
    </w:p>
    <w:p w14:paraId="5509642A" w14:textId="09E10CDF" w:rsidR="00A66C88" w:rsidRDefault="00A66C88">
      <w:pPr>
        <w:rPr>
          <w:rFonts w:eastAsiaTheme="majorEastAsia" w:cstheme="majorBidi"/>
          <w:b/>
          <w:caps/>
          <w:spacing w:val="14"/>
          <w:sz w:val="28"/>
          <w:szCs w:val="28"/>
        </w:rPr>
      </w:pPr>
      <w:r>
        <w:rPr>
          <w:b/>
          <w:sz w:val="28"/>
          <w:szCs w:val="28"/>
        </w:rPr>
        <w:br w:type="page"/>
      </w:r>
    </w:p>
    <w:p w14:paraId="19B77CAA" w14:textId="77777777" w:rsidR="00295E3B" w:rsidRPr="003C0ADD" w:rsidRDefault="00295E3B" w:rsidP="00E62198">
      <w:pPr>
        <w:spacing w:after="0"/>
      </w:pPr>
    </w:p>
    <w:p w14:paraId="55DB0EA1" w14:textId="77777777" w:rsidR="00295E3B" w:rsidRPr="006E53CE" w:rsidRDefault="00295E3B" w:rsidP="006E53CE">
      <w:pPr>
        <w:pStyle w:val="Titre1"/>
        <w:spacing w:line="360" w:lineRule="auto"/>
        <w:rPr>
          <w:rFonts w:ascii="Calibri" w:hAnsi="Calibri"/>
          <w:b/>
          <w:sz w:val="32"/>
        </w:rPr>
      </w:pPr>
      <w:bookmarkStart w:id="19" w:name="_Toc518468044"/>
      <w:r w:rsidRPr="006E53CE">
        <w:rPr>
          <w:rFonts w:ascii="Times New Roman" w:hAnsi="Times New Roman" w:cs="Times New Roman"/>
          <w:sz w:val="32"/>
        </w:rPr>
        <w:t>Introduction</w:t>
      </w:r>
      <w:bookmarkEnd w:id="19"/>
    </w:p>
    <w:p w14:paraId="4FCD23BC" w14:textId="0672C2C6" w:rsidR="00295E3B" w:rsidRPr="006E53CE" w:rsidRDefault="00605137" w:rsidP="000738D3">
      <w:pPr>
        <w:pStyle w:val="Titre2"/>
        <w:numPr>
          <w:ilvl w:val="0"/>
          <w:numId w:val="53"/>
        </w:numPr>
        <w:ind w:left="284"/>
        <w:rPr>
          <w:rFonts w:ascii="Times New Roman" w:hAnsi="Times New Roman" w:cs="Times New Roman"/>
          <w:sz w:val="24"/>
          <w:szCs w:val="24"/>
        </w:rPr>
      </w:pPr>
      <w:bookmarkStart w:id="20" w:name="_Toc518468045"/>
      <w:r w:rsidRPr="006E53CE">
        <w:rPr>
          <w:rFonts w:ascii="Times New Roman" w:hAnsi="Times New Roman" w:cs="Times New Roman"/>
          <w:caps w:val="0"/>
          <w:sz w:val="24"/>
          <w:szCs w:val="24"/>
        </w:rPr>
        <w:t>Contexte</w:t>
      </w:r>
      <w:bookmarkEnd w:id="5"/>
      <w:bookmarkEnd w:id="20"/>
      <w:r w:rsidR="00295E3B" w:rsidRPr="006E53CE">
        <w:rPr>
          <w:rFonts w:ascii="Times New Roman" w:hAnsi="Times New Roman" w:cs="Times New Roman"/>
          <w:sz w:val="24"/>
          <w:szCs w:val="24"/>
        </w:rPr>
        <w:t xml:space="preserve"> </w:t>
      </w:r>
    </w:p>
    <w:p w14:paraId="0BE0B6B2" w14:textId="007B8B98"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La République Démocratique du Con</w:t>
      </w:r>
      <w:r w:rsidR="00584AEC">
        <w:rPr>
          <w:rFonts w:ascii="Times New Roman" w:hAnsi="Times New Roman"/>
          <w:sz w:val="24"/>
          <w:szCs w:val="24"/>
        </w:rPr>
        <w:t xml:space="preserve">go </w:t>
      </w:r>
      <w:r w:rsidRPr="00C54AF9">
        <w:rPr>
          <w:rFonts w:ascii="Times New Roman" w:hAnsi="Times New Roman"/>
          <w:sz w:val="24"/>
          <w:szCs w:val="24"/>
        </w:rPr>
        <w:t>s’apprête à publier son neuvième rapport portant sur l’exercice 2016 et à se soumettre au processus de validation prévu pour le 02 juillet 2018.</w:t>
      </w:r>
    </w:p>
    <w:p w14:paraId="46CD8482"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 xml:space="preserve">Concernant le Rapport ITIE-RDC 2016, le Comité Exécutif avait décidé, le 13 juin 2017, de le produire et le publier en deux temps : </w:t>
      </w:r>
    </w:p>
    <w:p w14:paraId="556151C2" w14:textId="77777777" w:rsidR="00295E3B" w:rsidRPr="00C54AF9" w:rsidRDefault="00295E3B" w:rsidP="000738D3">
      <w:pPr>
        <w:pStyle w:val="Paragraphedeliste"/>
        <w:numPr>
          <w:ilvl w:val="0"/>
          <w:numId w:val="48"/>
        </w:numPr>
        <w:spacing w:after="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 rapport contextuel, portant sur les données contextuelles non conciliables, et</w:t>
      </w:r>
    </w:p>
    <w:p w14:paraId="118A53D9" w14:textId="77777777" w:rsidR="00295E3B" w:rsidRPr="00C54AF9" w:rsidRDefault="00295E3B" w:rsidP="000738D3">
      <w:pPr>
        <w:pStyle w:val="Paragraphedeliste"/>
        <w:numPr>
          <w:ilvl w:val="0"/>
          <w:numId w:val="49"/>
        </w:numPr>
        <w:spacing w:after="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le rapport de conciliation, portant sur les paiements et revenus, et aussi sur les données contextuelles conciliables. </w:t>
      </w:r>
    </w:p>
    <w:p w14:paraId="02BF738B"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A la même occasion, le Comité Exécutif avait confié la production du rapport contextuel au Secrétariat Technique de l’ITIE-RDC. Ce rapport doit être publié le 1er juillet 2018 et sera un des outils de base pour la validation. Conformément à l’Exigence 4.9(b), la production du rapport de conciliation a été réservée à un Administrateur Indépendant recruté par voie d’appel d’offres.</w:t>
      </w:r>
    </w:p>
    <w:p w14:paraId="05C04875"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C’est dans ce cadre précis que le Secrétariat Technique a élaboré le présent Rapport Contextuel ITIE-RDC 2016.</w:t>
      </w:r>
    </w:p>
    <w:p w14:paraId="3CA86362" w14:textId="4CD277B3" w:rsidR="00295E3B" w:rsidRPr="00C54AF9" w:rsidRDefault="00605137" w:rsidP="000738D3">
      <w:pPr>
        <w:pStyle w:val="Titre2"/>
        <w:numPr>
          <w:ilvl w:val="0"/>
          <w:numId w:val="53"/>
        </w:numPr>
        <w:ind w:left="284"/>
        <w:rPr>
          <w:rFonts w:ascii="Times New Roman" w:hAnsi="Times New Roman" w:cs="Times New Roman"/>
          <w:sz w:val="24"/>
          <w:szCs w:val="24"/>
        </w:rPr>
      </w:pPr>
      <w:bookmarkStart w:id="21" w:name="_Toc518468046"/>
      <w:r>
        <w:rPr>
          <w:rFonts w:ascii="Times New Roman" w:hAnsi="Times New Roman" w:cs="Times New Roman"/>
          <w:caps w:val="0"/>
          <w:sz w:val="24"/>
          <w:szCs w:val="24"/>
        </w:rPr>
        <w:t>Mandat du S</w:t>
      </w:r>
      <w:r w:rsidRPr="00C54AF9">
        <w:rPr>
          <w:rFonts w:ascii="Times New Roman" w:hAnsi="Times New Roman" w:cs="Times New Roman"/>
          <w:caps w:val="0"/>
          <w:sz w:val="24"/>
          <w:szCs w:val="24"/>
        </w:rPr>
        <w:t>ecrétariat</w:t>
      </w:r>
      <w:r>
        <w:rPr>
          <w:rFonts w:ascii="Times New Roman" w:hAnsi="Times New Roman" w:cs="Times New Roman"/>
          <w:caps w:val="0"/>
          <w:sz w:val="24"/>
          <w:szCs w:val="24"/>
        </w:rPr>
        <w:t xml:space="preserve"> T</w:t>
      </w:r>
      <w:r w:rsidRPr="00C54AF9">
        <w:rPr>
          <w:rFonts w:ascii="Times New Roman" w:hAnsi="Times New Roman" w:cs="Times New Roman"/>
          <w:caps w:val="0"/>
          <w:sz w:val="24"/>
          <w:szCs w:val="24"/>
        </w:rPr>
        <w:t>echnique</w:t>
      </w:r>
      <w:bookmarkEnd w:id="21"/>
    </w:p>
    <w:p w14:paraId="22F97DE3" w14:textId="77777777" w:rsidR="00295E3B" w:rsidRPr="00C54AF9" w:rsidRDefault="00295E3B" w:rsidP="00295E3B">
      <w:pPr>
        <w:spacing w:before="240" w:after="120"/>
        <w:jc w:val="both"/>
        <w:rPr>
          <w:rFonts w:ascii="Times New Roman" w:hAnsi="Times New Roman"/>
          <w:sz w:val="24"/>
          <w:szCs w:val="24"/>
        </w:rPr>
      </w:pPr>
      <w:r w:rsidRPr="00C54AF9">
        <w:rPr>
          <w:rFonts w:ascii="Times New Roman" w:hAnsi="Times New Roman"/>
          <w:sz w:val="24"/>
          <w:szCs w:val="24"/>
        </w:rPr>
        <w:t>Le Secrétariat Technique avait reçu du Comité Exécutif le mandat de produire un Rapport Contextuel incluant les informations sur :</w:t>
      </w:r>
    </w:p>
    <w:p w14:paraId="585F291B"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 cadre légal et le régime fiscal applicables dans le secteur minier et pétrolier en RDC (Exigence 2.1)</w:t>
      </w:r>
    </w:p>
    <w:p w14:paraId="55B8E120"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les procédures d’attribution des droits miniers et pétroliers (Exigence 2.2) </w:t>
      </w:r>
    </w:p>
    <w:p w14:paraId="30A16D2E"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registres  des droits  miniers  et pétroliers (Exigence 2.3)</w:t>
      </w:r>
    </w:p>
    <w:p w14:paraId="3BE64E69"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politique  de publication  des contrats  (Exigence 2.4)</w:t>
      </w:r>
    </w:p>
    <w:p w14:paraId="0D5ADDAD"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propriété réelle des industries extractives (Exigence 2.5)</w:t>
      </w:r>
    </w:p>
    <w:p w14:paraId="71F6ECEB"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participation de l’Etat dans les industries extractives (Exigence 2.6)</w:t>
      </w:r>
    </w:p>
    <w:p w14:paraId="28EBE09E"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prospection, la production et les exportations (Exigence 3)</w:t>
      </w:r>
    </w:p>
    <w:p w14:paraId="7C14E0F1"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transferts infranationaux (Exigence 5.2)</w:t>
      </w:r>
    </w:p>
    <w:p w14:paraId="48066BB2"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dépenses sociales des industries extractives (Exigence 6.1)</w:t>
      </w:r>
    </w:p>
    <w:p w14:paraId="395E661A"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dépenses quasi fiscales des EPE (Exigence 6.2)</w:t>
      </w:r>
    </w:p>
    <w:p w14:paraId="757FD67F" w14:textId="77777777" w:rsidR="00295E3B" w:rsidRPr="00C54AF9" w:rsidRDefault="00295E3B" w:rsidP="000738D3">
      <w:pPr>
        <w:pStyle w:val="Paragraphedeliste"/>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la contribution des industries extractives à l'économie nationale (Exigence 6.3).</w:t>
      </w:r>
    </w:p>
    <w:p w14:paraId="4454CB49" w14:textId="77777777" w:rsidR="00295E3B" w:rsidRPr="00C54AF9" w:rsidRDefault="00295E3B" w:rsidP="00295E3B">
      <w:pPr>
        <w:rPr>
          <w:rFonts w:ascii="Times New Roman" w:hAnsi="Times New Roman"/>
          <w:sz w:val="24"/>
          <w:szCs w:val="24"/>
        </w:rPr>
      </w:pPr>
    </w:p>
    <w:p w14:paraId="040780D2" w14:textId="2536C284" w:rsidR="00BD7D30" w:rsidRDefault="00295E3B" w:rsidP="00295E3B">
      <w:pPr>
        <w:jc w:val="both"/>
        <w:rPr>
          <w:rFonts w:ascii="Times New Roman" w:hAnsi="Times New Roman"/>
          <w:sz w:val="24"/>
          <w:szCs w:val="24"/>
        </w:rPr>
      </w:pPr>
      <w:r w:rsidRPr="00C54AF9">
        <w:rPr>
          <w:rFonts w:ascii="Times New Roman" w:hAnsi="Times New Roman"/>
          <w:sz w:val="24"/>
          <w:szCs w:val="24"/>
        </w:rPr>
        <w:t>Ce rapport a été établi à l'usage exclusif de l'ITIE-RDC et ne saurait être utilisé à des fins autres que celles auxquelles il est destiné. Les avis qui y sont exprimés sont ceux des parties prenantes.</w:t>
      </w:r>
    </w:p>
    <w:p w14:paraId="40D11533" w14:textId="77777777" w:rsidR="00BD7D30" w:rsidRDefault="00BD7D30">
      <w:pPr>
        <w:rPr>
          <w:rFonts w:ascii="Times New Roman" w:hAnsi="Times New Roman"/>
          <w:sz w:val="24"/>
          <w:szCs w:val="24"/>
        </w:rPr>
      </w:pPr>
      <w:r>
        <w:rPr>
          <w:rFonts w:ascii="Times New Roman" w:hAnsi="Times New Roman"/>
          <w:sz w:val="24"/>
          <w:szCs w:val="24"/>
        </w:rPr>
        <w:br w:type="page"/>
      </w:r>
    </w:p>
    <w:p w14:paraId="2EE5AED7" w14:textId="327B1599" w:rsidR="00295E3B" w:rsidRPr="00C54AF9" w:rsidRDefault="00495634" w:rsidP="000738D3">
      <w:pPr>
        <w:pStyle w:val="Titre2"/>
        <w:numPr>
          <w:ilvl w:val="0"/>
          <w:numId w:val="53"/>
        </w:numPr>
        <w:ind w:left="284"/>
        <w:rPr>
          <w:rFonts w:ascii="Times New Roman" w:hAnsi="Times New Roman" w:cs="Times New Roman"/>
          <w:sz w:val="24"/>
          <w:szCs w:val="24"/>
        </w:rPr>
      </w:pPr>
      <w:bookmarkStart w:id="22" w:name="_Toc518468047"/>
      <w:r w:rsidRPr="00C54AF9">
        <w:rPr>
          <w:rFonts w:ascii="Times New Roman" w:hAnsi="Times New Roman" w:cs="Times New Roman"/>
          <w:caps w:val="0"/>
          <w:sz w:val="24"/>
          <w:szCs w:val="24"/>
        </w:rPr>
        <w:lastRenderedPageBreak/>
        <w:t>Importance de la publication des informations contextuelles</w:t>
      </w:r>
      <w:bookmarkEnd w:id="22"/>
    </w:p>
    <w:p w14:paraId="5C7B1348" w14:textId="77777777" w:rsidR="00295E3B" w:rsidRPr="00C54AF9" w:rsidRDefault="00C34B93" w:rsidP="00295E3B">
      <w:pPr>
        <w:jc w:val="both"/>
        <w:rPr>
          <w:rFonts w:ascii="Times New Roman" w:hAnsi="Times New Roman"/>
          <w:sz w:val="24"/>
          <w:szCs w:val="24"/>
        </w:rPr>
      </w:pPr>
      <w:r w:rsidRPr="00C54AF9">
        <w:rPr>
          <w:rFonts w:ascii="Times New Roman" w:hAnsi="Times New Roman"/>
          <w:sz w:val="24"/>
          <w:szCs w:val="24"/>
        </w:rPr>
        <w:t>L</w:t>
      </w:r>
      <w:r w:rsidR="00295E3B" w:rsidRPr="00C54AF9">
        <w:rPr>
          <w:rFonts w:ascii="Times New Roman" w:hAnsi="Times New Roman"/>
          <w:sz w:val="24"/>
          <w:szCs w:val="24"/>
        </w:rPr>
        <w:t xml:space="preserve">es informations contextuelles facilitent la compréhension et </w:t>
      </w:r>
      <w:r w:rsidRPr="00C54AF9">
        <w:rPr>
          <w:rFonts w:ascii="Times New Roman" w:hAnsi="Times New Roman"/>
          <w:sz w:val="24"/>
          <w:szCs w:val="24"/>
        </w:rPr>
        <w:t>la</w:t>
      </w:r>
      <w:r w:rsidR="00295E3B" w:rsidRPr="00C54AF9">
        <w:rPr>
          <w:rFonts w:ascii="Times New Roman" w:hAnsi="Times New Roman"/>
          <w:sz w:val="24"/>
          <w:szCs w:val="24"/>
        </w:rPr>
        <w:t xml:space="preserve"> bonne utilisation des rapports ITIE. Elles permettent  aux citoyens d’améliorer leur connaissance du contexte dans lequel les chiffres publiés ont été générés, ce qui favorise, par conséquent, un débat public réel sur </w:t>
      </w:r>
      <w:r w:rsidR="00DE272B" w:rsidRPr="00C54AF9">
        <w:rPr>
          <w:rFonts w:ascii="Times New Roman" w:hAnsi="Times New Roman"/>
          <w:sz w:val="24"/>
          <w:szCs w:val="24"/>
        </w:rPr>
        <w:t>la gouvernance d</w:t>
      </w:r>
      <w:r w:rsidR="00295E3B" w:rsidRPr="00C54AF9">
        <w:rPr>
          <w:rFonts w:ascii="Times New Roman" w:hAnsi="Times New Roman"/>
          <w:sz w:val="24"/>
          <w:szCs w:val="24"/>
        </w:rPr>
        <w:t>es revenus tirés des ressources naturelles.</w:t>
      </w:r>
    </w:p>
    <w:p w14:paraId="789F8EBD" w14:textId="60092463" w:rsidR="00295E3B" w:rsidRPr="00C54AF9" w:rsidRDefault="00495634" w:rsidP="000738D3">
      <w:pPr>
        <w:pStyle w:val="Titre2"/>
        <w:numPr>
          <w:ilvl w:val="0"/>
          <w:numId w:val="53"/>
        </w:numPr>
        <w:ind w:left="284"/>
        <w:rPr>
          <w:rFonts w:ascii="Times New Roman" w:hAnsi="Times New Roman" w:cs="Times New Roman"/>
          <w:sz w:val="24"/>
          <w:szCs w:val="24"/>
        </w:rPr>
      </w:pPr>
      <w:bookmarkStart w:id="23" w:name="_Toc518468048"/>
      <w:r w:rsidRPr="00C54AF9">
        <w:rPr>
          <w:rFonts w:ascii="Times New Roman" w:hAnsi="Times New Roman" w:cs="Times New Roman"/>
          <w:caps w:val="0"/>
          <w:sz w:val="24"/>
          <w:szCs w:val="24"/>
        </w:rPr>
        <w:t>Période de validité des informations publiées dans ce rapport</w:t>
      </w:r>
      <w:bookmarkEnd w:id="23"/>
    </w:p>
    <w:p w14:paraId="1C33E3D8" w14:textId="1EA707C9" w:rsidR="00295E3B" w:rsidRPr="00C54AF9" w:rsidRDefault="00295E3B" w:rsidP="00295E3B">
      <w:pPr>
        <w:jc w:val="both"/>
        <w:rPr>
          <w:rFonts w:ascii="Times New Roman" w:hAnsi="Times New Roman"/>
          <w:sz w:val="24"/>
          <w:szCs w:val="24"/>
        </w:rPr>
      </w:pPr>
      <w:r w:rsidRPr="00C54AF9">
        <w:rPr>
          <w:rFonts w:ascii="Times New Roman" w:hAnsi="Times New Roman"/>
          <w:sz w:val="24"/>
          <w:szCs w:val="24"/>
        </w:rPr>
        <w:t xml:space="preserve">Le Rapport ITIE en élaboration porte sur l’exercice comptable </w:t>
      </w:r>
      <w:r w:rsidR="00344C04" w:rsidRPr="00C54AF9">
        <w:rPr>
          <w:rFonts w:ascii="Times New Roman" w:hAnsi="Times New Roman"/>
          <w:sz w:val="24"/>
          <w:szCs w:val="24"/>
        </w:rPr>
        <w:t>2016 (</w:t>
      </w:r>
      <w:r w:rsidR="00584AEC">
        <w:rPr>
          <w:rFonts w:ascii="Times New Roman" w:hAnsi="Times New Roman"/>
          <w:sz w:val="24"/>
          <w:szCs w:val="24"/>
        </w:rPr>
        <w:t xml:space="preserve">du </w:t>
      </w:r>
      <w:r w:rsidRPr="00C54AF9">
        <w:rPr>
          <w:rFonts w:ascii="Times New Roman" w:hAnsi="Times New Roman"/>
          <w:sz w:val="24"/>
          <w:szCs w:val="24"/>
        </w:rPr>
        <w:t>1er janvier au 31 décembre</w:t>
      </w:r>
      <w:r w:rsidR="00344C04" w:rsidRPr="00C54AF9">
        <w:rPr>
          <w:rFonts w:ascii="Times New Roman" w:hAnsi="Times New Roman"/>
          <w:sz w:val="24"/>
          <w:szCs w:val="24"/>
        </w:rPr>
        <w:t>)</w:t>
      </w:r>
      <w:r w:rsidRPr="00C54AF9">
        <w:rPr>
          <w:rFonts w:ascii="Times New Roman" w:hAnsi="Times New Roman"/>
          <w:sz w:val="24"/>
          <w:szCs w:val="24"/>
        </w:rPr>
        <w:t xml:space="preserve">. Toutefois, l’Exigence 4.8(b) de la Norme ITIE encourage les pays de mise en œuvre </w:t>
      </w:r>
      <w:r w:rsidR="00344C04" w:rsidRPr="00C54AF9">
        <w:rPr>
          <w:rFonts w:ascii="Times New Roman" w:hAnsi="Times New Roman"/>
          <w:sz w:val="24"/>
          <w:szCs w:val="24"/>
        </w:rPr>
        <w:t xml:space="preserve">à </w:t>
      </w:r>
      <w:r w:rsidRPr="00C54AF9">
        <w:rPr>
          <w:rFonts w:ascii="Times New Roman" w:hAnsi="Times New Roman"/>
          <w:sz w:val="24"/>
          <w:szCs w:val="24"/>
        </w:rPr>
        <w:t>publier les informations contextuelles plus récentes que l’exercice comptable auquel se rapportent les données sur les recettes, lorsque de telles informations sont disponibles.</w:t>
      </w:r>
    </w:p>
    <w:p w14:paraId="0DB8A0A0" w14:textId="77777777" w:rsidR="00295E3B" w:rsidRDefault="00295E3B" w:rsidP="00295E3B">
      <w:pPr>
        <w:jc w:val="both"/>
        <w:rPr>
          <w:rFonts w:cstheme="minorHAnsi"/>
          <w:sz w:val="24"/>
          <w:szCs w:val="24"/>
          <w:lang w:val="fr-BE"/>
        </w:rPr>
      </w:pPr>
      <w:r>
        <w:rPr>
          <w:rFonts w:eastAsia="Yu Gothic UI" w:cstheme="minorHAnsi"/>
          <w:color w:val="231F20"/>
          <w:sz w:val="24"/>
          <w:szCs w:val="24"/>
        </w:rPr>
        <w:t>Par conséquent, le présent rapport inclut les informations contextuelles, disponibles et accessibles, plus récentes que l’exercice 2016</w:t>
      </w:r>
      <w:r w:rsidR="00344C04">
        <w:rPr>
          <w:rFonts w:eastAsia="Yu Gothic UI" w:cstheme="minorHAnsi"/>
          <w:color w:val="231F20"/>
          <w:sz w:val="24"/>
          <w:szCs w:val="24"/>
        </w:rPr>
        <w:t>.</w:t>
      </w:r>
    </w:p>
    <w:p w14:paraId="7EF6D4B7" w14:textId="14F061F8" w:rsidR="00295E3B" w:rsidRPr="00C54AF9" w:rsidRDefault="00AA5F3F" w:rsidP="000738D3">
      <w:pPr>
        <w:pStyle w:val="Titre2"/>
        <w:numPr>
          <w:ilvl w:val="0"/>
          <w:numId w:val="53"/>
        </w:numPr>
        <w:ind w:left="284"/>
        <w:rPr>
          <w:rFonts w:ascii="Times New Roman" w:hAnsi="Times New Roman" w:cs="Times New Roman"/>
          <w:sz w:val="24"/>
          <w:szCs w:val="24"/>
        </w:rPr>
      </w:pPr>
      <w:bookmarkStart w:id="24" w:name="_Toc518468049"/>
      <w:r w:rsidRPr="00C54AF9">
        <w:rPr>
          <w:rFonts w:ascii="Times New Roman" w:hAnsi="Times New Roman" w:cs="Times New Roman"/>
          <w:caps w:val="0"/>
          <w:sz w:val="24"/>
          <w:szCs w:val="24"/>
        </w:rPr>
        <w:t>Méthodologie</w:t>
      </w:r>
      <w:bookmarkEnd w:id="24"/>
      <w:r w:rsidR="00295E3B" w:rsidRPr="00C54AF9">
        <w:rPr>
          <w:rFonts w:ascii="Times New Roman" w:hAnsi="Times New Roman" w:cs="Times New Roman"/>
          <w:sz w:val="24"/>
          <w:szCs w:val="24"/>
        </w:rPr>
        <w:t xml:space="preserve"> </w:t>
      </w:r>
    </w:p>
    <w:p w14:paraId="5E4B7254" w14:textId="77777777" w:rsidR="00295E3B" w:rsidRPr="00C54AF9" w:rsidRDefault="00295E3B" w:rsidP="00295E3B">
      <w:pPr>
        <w:spacing w:after="120"/>
        <w:jc w:val="both"/>
        <w:rPr>
          <w:rFonts w:ascii="Times New Roman" w:hAnsi="Times New Roman"/>
        </w:rPr>
      </w:pPr>
      <w:r w:rsidRPr="00C54AF9">
        <w:rPr>
          <w:rFonts w:ascii="Times New Roman" w:hAnsi="Times New Roman"/>
        </w:rPr>
        <w:t>La méthodologie suivie  a consisté à :</w:t>
      </w:r>
    </w:p>
    <w:p w14:paraId="0F6DF87B" w14:textId="77777777" w:rsidR="00295E3B" w:rsidRPr="00C54AF9" w:rsidRDefault="00295E3B" w:rsidP="000738D3">
      <w:pPr>
        <w:pStyle w:val="Paragraphedeliste"/>
        <w:numPr>
          <w:ilvl w:val="0"/>
          <w:numId w:val="51"/>
        </w:numPr>
        <w:spacing w:after="120" w:line="259" w:lineRule="auto"/>
        <w:jc w:val="both"/>
        <w:rPr>
          <w:rFonts w:ascii="Times New Roman" w:hAnsi="Times New Roman" w:cs="Times New Roman"/>
        </w:rPr>
      </w:pPr>
      <w:r w:rsidRPr="00C54AF9">
        <w:rPr>
          <w:rFonts w:ascii="Times New Roman" w:hAnsi="Times New Roman" w:cs="Times New Roman"/>
        </w:rPr>
        <w:t>Identifier la (les) source(s) pertinente(s) pour chaque information contextuelle, ce qui nous a permis de lister les sources suivantes :</w:t>
      </w:r>
    </w:p>
    <w:p w14:paraId="08E232BF" w14:textId="77777777" w:rsidR="00295E3B" w:rsidRDefault="00295E3B" w:rsidP="00295E3B">
      <w:pPr>
        <w:spacing w:after="120"/>
      </w:pPr>
      <w:r w:rsidRPr="001E3AD5">
        <w:rPr>
          <w:noProof/>
          <w:lang w:eastAsia="fr-FR"/>
        </w:rPr>
        <w:drawing>
          <wp:inline distT="0" distB="0" distL="0" distR="0" wp14:anchorId="237C3950" wp14:editId="6FAF7891">
            <wp:extent cx="5591175" cy="3505200"/>
            <wp:effectExtent l="0" t="38100" r="0" b="38100"/>
            <wp:docPr id="6"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8C1755E"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Collecter les informations auprès de diverses structures listées dans le tableau ci-dessus ;</w:t>
      </w:r>
    </w:p>
    <w:p w14:paraId="60C088E3"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Rev</w:t>
      </w:r>
      <w:r w:rsidR="00247AD4" w:rsidRPr="00C54AF9">
        <w:rPr>
          <w:rFonts w:ascii="Times New Roman" w:eastAsia="Calibri" w:hAnsi="Times New Roman" w:cs="Times New Roman"/>
          <w:sz w:val="24"/>
          <w:szCs w:val="24"/>
        </w:rPr>
        <w:t>oir</w:t>
      </w:r>
      <w:r w:rsidRPr="00C54AF9">
        <w:rPr>
          <w:rFonts w:ascii="Times New Roman" w:eastAsia="Calibri" w:hAnsi="Times New Roman" w:cs="Times New Roman"/>
          <w:sz w:val="24"/>
          <w:szCs w:val="24"/>
        </w:rPr>
        <w:t xml:space="preserve"> et analyse</w:t>
      </w:r>
      <w:r w:rsidR="00247AD4" w:rsidRPr="00C54AF9">
        <w:rPr>
          <w:rFonts w:ascii="Times New Roman" w:eastAsia="Calibri" w:hAnsi="Times New Roman" w:cs="Times New Roman"/>
          <w:sz w:val="24"/>
          <w:szCs w:val="24"/>
        </w:rPr>
        <w:t>r l</w:t>
      </w:r>
      <w:r w:rsidRPr="00C54AF9">
        <w:rPr>
          <w:rFonts w:ascii="Times New Roman" w:eastAsia="Calibri" w:hAnsi="Times New Roman" w:cs="Times New Roman"/>
          <w:sz w:val="24"/>
          <w:szCs w:val="24"/>
        </w:rPr>
        <w:t>es états financiers des EPE par deux Consultants recrutés par le Secrétariat International ;</w:t>
      </w:r>
    </w:p>
    <w:p w14:paraId="55506253"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Compiler  les informations collectées ;</w:t>
      </w:r>
    </w:p>
    <w:p w14:paraId="07D8FFA5" w14:textId="77777777" w:rsidR="00295E3B" w:rsidRPr="00C54AF9" w:rsidRDefault="00295E3B" w:rsidP="000738D3">
      <w:pPr>
        <w:pStyle w:val="Paragraphedeliste"/>
        <w:numPr>
          <w:ilvl w:val="0"/>
          <w:numId w:val="51"/>
        </w:numPr>
        <w:spacing w:after="120" w:line="259" w:lineRule="auto"/>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Rédiger le projet de Rapport Contextuel ITIE-RDC 2016. </w:t>
      </w:r>
    </w:p>
    <w:p w14:paraId="2AD4093A" w14:textId="2C894C24" w:rsidR="00295E3B" w:rsidRPr="00C54AF9" w:rsidRDefault="00AA5F3F" w:rsidP="000738D3">
      <w:pPr>
        <w:pStyle w:val="Titre2"/>
        <w:numPr>
          <w:ilvl w:val="0"/>
          <w:numId w:val="53"/>
        </w:numPr>
        <w:ind w:left="284"/>
        <w:rPr>
          <w:rFonts w:ascii="Times New Roman" w:hAnsi="Times New Roman" w:cs="Times New Roman"/>
          <w:sz w:val="24"/>
          <w:szCs w:val="24"/>
        </w:rPr>
      </w:pPr>
      <w:bookmarkStart w:id="25" w:name="_Toc492630359"/>
      <w:bookmarkStart w:id="26" w:name="_Toc518468050"/>
      <w:r w:rsidRPr="00C54AF9">
        <w:rPr>
          <w:rFonts w:ascii="Times New Roman" w:hAnsi="Times New Roman" w:cs="Times New Roman"/>
          <w:caps w:val="0"/>
          <w:sz w:val="24"/>
          <w:szCs w:val="24"/>
        </w:rPr>
        <w:lastRenderedPageBreak/>
        <w:t>Limitations</w:t>
      </w:r>
      <w:bookmarkEnd w:id="25"/>
      <w:bookmarkEnd w:id="26"/>
    </w:p>
    <w:p w14:paraId="2372B6F6" w14:textId="77777777" w:rsidR="00F56766" w:rsidRPr="00C54AF9" w:rsidRDefault="00F56766" w:rsidP="00295E3B">
      <w:pPr>
        <w:pStyle w:val="Paragraphedeliste"/>
        <w:ind w:left="0"/>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 xml:space="preserve">Ce rapport ne contient pas : </w:t>
      </w:r>
    </w:p>
    <w:p w14:paraId="02E1BA63" w14:textId="77777777" w:rsidR="00247AD4" w:rsidRPr="00C54AF9"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conclusions des Consultants sur la revue des états financiers des EPE, qui seront disponibles à la fin de leur mission ;</w:t>
      </w:r>
    </w:p>
    <w:p w14:paraId="28B8123A" w14:textId="77777777" w:rsidR="00F56766" w:rsidRPr="00C54AF9"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les améliorations des parties prenantes parvenues au Secrétariat Technique après adoption par le Groupe Technique de Travail (GTT), le 29 juin 2018 ;</w:t>
      </w:r>
    </w:p>
    <w:p w14:paraId="389FFFA2" w14:textId="77777777" w:rsidR="00F56766" w:rsidRDefault="00F56766" w:rsidP="000738D3">
      <w:pPr>
        <w:pStyle w:val="Paragraphedeliste"/>
        <w:numPr>
          <w:ilvl w:val="0"/>
          <w:numId w:val="49"/>
        </w:numPr>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certaines informations spécifiques en cours de collecte, notamment sur SICOMINES.</w:t>
      </w:r>
    </w:p>
    <w:p w14:paraId="46DD4FE7" w14:textId="625BFE7F" w:rsidR="001C663E" w:rsidRPr="00C54AF9" w:rsidRDefault="005C79DE" w:rsidP="00092F1D">
      <w:pPr>
        <w:pStyle w:val="Paragraphedeliste"/>
        <w:numPr>
          <w:ilvl w:val="0"/>
          <w:numId w:val="49"/>
        </w:numPr>
        <w:ind w:left="360" w:firstLine="66"/>
        <w:jc w:val="both"/>
        <w:rPr>
          <w:rFonts w:ascii="Times New Roman" w:eastAsia="Calibri" w:hAnsi="Times New Roman" w:cs="Times New Roman"/>
          <w:sz w:val="24"/>
          <w:szCs w:val="24"/>
        </w:rPr>
      </w:pPr>
      <w:r w:rsidRPr="001C663E">
        <w:rPr>
          <w:rFonts w:ascii="Times New Roman" w:eastAsia="Calibri" w:hAnsi="Times New Roman" w:cs="Times New Roman"/>
          <w:sz w:val="24"/>
          <w:szCs w:val="24"/>
        </w:rPr>
        <w:t xml:space="preserve">les données sur l’artisanat minier des provinces du Lualaba </w:t>
      </w:r>
      <w:r w:rsidR="001C663E">
        <w:rPr>
          <w:rFonts w:ascii="Times New Roman" w:eastAsia="Calibri" w:hAnsi="Times New Roman" w:cs="Times New Roman"/>
          <w:sz w:val="24"/>
          <w:szCs w:val="24"/>
        </w:rPr>
        <w:t>et Tanganyika</w:t>
      </w:r>
    </w:p>
    <w:p w14:paraId="6D1EBC0C" w14:textId="77777777" w:rsidR="00730E67" w:rsidRPr="00092F1D" w:rsidRDefault="00730E67" w:rsidP="00092F1D">
      <w:pPr>
        <w:pStyle w:val="Paragraphedeliste"/>
        <w:ind w:left="360"/>
        <w:jc w:val="both"/>
        <w:rPr>
          <w:rFonts w:ascii="Times New Roman" w:hAnsi="Times New Roman"/>
          <w:sz w:val="24"/>
          <w:szCs w:val="24"/>
        </w:rPr>
      </w:pPr>
      <w:r w:rsidRPr="001C663E">
        <w:rPr>
          <w:rFonts w:ascii="Times New Roman" w:hAnsi="Times New Roman"/>
          <w:sz w:val="24"/>
          <w:szCs w:val="24"/>
        </w:rPr>
        <w:t>Toutes ces informations feront l’objet d’un rapport complémentaire</w:t>
      </w:r>
      <w:r w:rsidR="00CD36DD" w:rsidRPr="001C663E">
        <w:rPr>
          <w:rFonts w:ascii="Times New Roman" w:hAnsi="Times New Roman"/>
          <w:sz w:val="24"/>
          <w:szCs w:val="24"/>
        </w:rPr>
        <w:t xml:space="preserve"> qui sera publié au plus tard le 31 juillet 2018.</w:t>
      </w:r>
    </w:p>
    <w:p w14:paraId="4F20FC2A" w14:textId="7C193C7E" w:rsidR="007D1555" w:rsidRPr="00C54AF9" w:rsidRDefault="00AA5F3F" w:rsidP="000738D3">
      <w:pPr>
        <w:pStyle w:val="Titre2"/>
        <w:numPr>
          <w:ilvl w:val="0"/>
          <w:numId w:val="53"/>
        </w:numPr>
        <w:ind w:left="284"/>
        <w:rPr>
          <w:rFonts w:ascii="Times New Roman" w:hAnsi="Times New Roman" w:cs="Times New Roman"/>
          <w:sz w:val="24"/>
          <w:szCs w:val="24"/>
        </w:rPr>
      </w:pPr>
      <w:bookmarkStart w:id="27" w:name="_Toc518468051"/>
      <w:r w:rsidRPr="00C54AF9">
        <w:rPr>
          <w:rFonts w:ascii="Times New Roman" w:hAnsi="Times New Roman" w:cs="Times New Roman"/>
          <w:caps w:val="0"/>
          <w:sz w:val="24"/>
          <w:szCs w:val="24"/>
        </w:rPr>
        <w:t>Exhaustivité et fiabilité des informations</w:t>
      </w:r>
      <w:bookmarkEnd w:id="27"/>
    </w:p>
    <w:p w14:paraId="3F76AF00" w14:textId="2BA88057" w:rsidR="00866639" w:rsidRPr="00C54AF9" w:rsidRDefault="00866639" w:rsidP="000738D3">
      <w:pPr>
        <w:pStyle w:val="Paragraphedeliste"/>
        <w:numPr>
          <w:ilvl w:val="0"/>
          <w:numId w:val="52"/>
        </w:numPr>
        <w:jc w:val="both"/>
        <w:rPr>
          <w:rFonts w:ascii="Times New Roman" w:eastAsia="Calibri" w:hAnsi="Times New Roman" w:cs="Times New Roman"/>
          <w:sz w:val="24"/>
          <w:szCs w:val="24"/>
        </w:rPr>
      </w:pPr>
      <w:r w:rsidRPr="00C54AF9">
        <w:rPr>
          <w:rFonts w:ascii="Times New Roman" w:eastAsia="Calibri" w:hAnsi="Times New Roman" w:cs="Times New Roman"/>
          <w:b/>
          <w:sz w:val="24"/>
          <w:szCs w:val="24"/>
        </w:rPr>
        <w:t>Exhaustivité</w:t>
      </w:r>
      <w:r w:rsidR="00584AEC">
        <w:rPr>
          <w:rFonts w:ascii="Times New Roman" w:eastAsia="Calibri" w:hAnsi="Times New Roman" w:cs="Times New Roman"/>
          <w:sz w:val="24"/>
          <w:szCs w:val="24"/>
        </w:rPr>
        <w:t> : Tenant compte</w:t>
      </w:r>
      <w:r w:rsidRPr="00C54AF9">
        <w:rPr>
          <w:rFonts w:ascii="Times New Roman" w:eastAsia="Calibri" w:hAnsi="Times New Roman" w:cs="Times New Roman"/>
          <w:sz w:val="24"/>
          <w:szCs w:val="24"/>
        </w:rPr>
        <w:t xml:space="preserve"> des limitations</w:t>
      </w:r>
      <w:r w:rsidR="00584AEC">
        <w:rPr>
          <w:rFonts w:ascii="Times New Roman" w:eastAsia="Calibri" w:hAnsi="Times New Roman" w:cs="Times New Roman"/>
          <w:sz w:val="24"/>
          <w:szCs w:val="24"/>
        </w:rPr>
        <w:t xml:space="preserve"> relevées </w:t>
      </w:r>
      <w:r w:rsidRPr="00C54AF9">
        <w:rPr>
          <w:rFonts w:ascii="Times New Roman" w:eastAsia="Calibri" w:hAnsi="Times New Roman" w:cs="Times New Roman"/>
          <w:sz w:val="24"/>
          <w:szCs w:val="24"/>
        </w:rPr>
        <w:t xml:space="preserve"> ci-dessus, </w:t>
      </w:r>
      <w:r w:rsidR="007D1555" w:rsidRPr="00C54AF9">
        <w:rPr>
          <w:rFonts w:ascii="Times New Roman" w:eastAsia="Calibri" w:hAnsi="Times New Roman" w:cs="Times New Roman"/>
          <w:sz w:val="24"/>
          <w:szCs w:val="24"/>
        </w:rPr>
        <w:t>nous ne pouvons pas conclure que les informations contenues dans le présent rapport sont exhaustives.</w:t>
      </w:r>
    </w:p>
    <w:p w14:paraId="47246160" w14:textId="77777777" w:rsidR="00FE79B7" w:rsidRPr="00C54AF9" w:rsidRDefault="00FE79B7" w:rsidP="00FE79B7">
      <w:pPr>
        <w:pStyle w:val="Paragraphedeliste"/>
        <w:ind w:left="1080"/>
        <w:jc w:val="both"/>
        <w:rPr>
          <w:rFonts w:ascii="Times New Roman" w:eastAsia="Calibri" w:hAnsi="Times New Roman" w:cs="Times New Roman"/>
          <w:sz w:val="24"/>
          <w:szCs w:val="24"/>
        </w:rPr>
      </w:pPr>
    </w:p>
    <w:p w14:paraId="59B87990" w14:textId="77777777" w:rsidR="007D1555" w:rsidRPr="00C54AF9" w:rsidRDefault="007D1555" w:rsidP="000738D3">
      <w:pPr>
        <w:pStyle w:val="Paragraphedeliste"/>
        <w:numPr>
          <w:ilvl w:val="0"/>
          <w:numId w:val="52"/>
        </w:numPr>
        <w:jc w:val="both"/>
        <w:rPr>
          <w:rFonts w:ascii="Times New Roman" w:eastAsia="Calibri" w:hAnsi="Times New Roman" w:cs="Times New Roman"/>
          <w:sz w:val="24"/>
          <w:szCs w:val="24"/>
        </w:rPr>
      </w:pPr>
      <w:r w:rsidRPr="00C54AF9">
        <w:rPr>
          <w:rFonts w:ascii="Times New Roman" w:eastAsia="Calibri" w:hAnsi="Times New Roman" w:cs="Times New Roman"/>
          <w:b/>
          <w:sz w:val="24"/>
          <w:szCs w:val="24"/>
        </w:rPr>
        <w:t>Fiabilité</w:t>
      </w:r>
      <w:r w:rsidRPr="00C54AF9">
        <w:rPr>
          <w:rFonts w:ascii="Times New Roman" w:eastAsia="Calibri" w:hAnsi="Times New Roman" w:cs="Times New Roman"/>
          <w:sz w:val="24"/>
          <w:szCs w:val="24"/>
        </w:rPr>
        <w:t xml:space="preserve"> : </w:t>
      </w:r>
      <w:r w:rsidR="009D7694" w:rsidRPr="00C54AF9">
        <w:rPr>
          <w:rFonts w:ascii="Times New Roman" w:eastAsia="Calibri" w:hAnsi="Times New Roman" w:cs="Times New Roman"/>
          <w:sz w:val="24"/>
          <w:szCs w:val="24"/>
        </w:rPr>
        <w:t xml:space="preserve">les </w:t>
      </w:r>
      <w:r w:rsidRPr="00C54AF9">
        <w:rPr>
          <w:rFonts w:ascii="Times New Roman" w:eastAsia="Calibri" w:hAnsi="Times New Roman" w:cs="Times New Roman"/>
          <w:sz w:val="24"/>
          <w:szCs w:val="24"/>
        </w:rPr>
        <w:t xml:space="preserve">informations </w:t>
      </w:r>
      <w:r w:rsidR="00FE79B7" w:rsidRPr="00C54AF9">
        <w:rPr>
          <w:rFonts w:ascii="Times New Roman" w:eastAsia="Calibri" w:hAnsi="Times New Roman" w:cs="Times New Roman"/>
          <w:sz w:val="24"/>
          <w:szCs w:val="24"/>
        </w:rPr>
        <w:t>reçu</w:t>
      </w:r>
      <w:r w:rsidR="009D7694" w:rsidRPr="00C54AF9">
        <w:rPr>
          <w:rFonts w:ascii="Times New Roman" w:eastAsia="Calibri" w:hAnsi="Times New Roman" w:cs="Times New Roman"/>
          <w:sz w:val="24"/>
          <w:szCs w:val="24"/>
        </w:rPr>
        <w:t>es</w:t>
      </w:r>
      <w:r w:rsidRPr="00C54AF9">
        <w:rPr>
          <w:rFonts w:ascii="Times New Roman" w:eastAsia="Calibri" w:hAnsi="Times New Roman" w:cs="Times New Roman"/>
          <w:sz w:val="24"/>
          <w:szCs w:val="24"/>
        </w:rPr>
        <w:t xml:space="preserve"> dans</w:t>
      </w:r>
      <w:r w:rsidR="009D7694" w:rsidRPr="00C54AF9">
        <w:rPr>
          <w:rFonts w:ascii="Times New Roman" w:eastAsia="Calibri" w:hAnsi="Times New Roman" w:cs="Times New Roman"/>
          <w:sz w:val="24"/>
          <w:szCs w:val="24"/>
        </w:rPr>
        <w:t xml:space="preserve"> le cadre de</w:t>
      </w:r>
      <w:r w:rsidRPr="00C54AF9">
        <w:rPr>
          <w:rFonts w:ascii="Times New Roman" w:eastAsia="Calibri" w:hAnsi="Times New Roman" w:cs="Times New Roman"/>
          <w:sz w:val="24"/>
          <w:szCs w:val="24"/>
        </w:rPr>
        <w:t xml:space="preserve"> ce rapport proviennent</w:t>
      </w:r>
      <w:r w:rsidR="009D7694" w:rsidRPr="00C54AF9">
        <w:rPr>
          <w:rFonts w:ascii="Times New Roman" w:eastAsia="Calibri" w:hAnsi="Times New Roman" w:cs="Times New Roman"/>
          <w:sz w:val="24"/>
          <w:szCs w:val="24"/>
        </w:rPr>
        <w:t>, soit</w:t>
      </w:r>
      <w:r w:rsidRPr="00C54AF9">
        <w:rPr>
          <w:rFonts w:ascii="Times New Roman" w:eastAsia="Calibri" w:hAnsi="Times New Roman" w:cs="Times New Roman"/>
          <w:sz w:val="24"/>
          <w:szCs w:val="24"/>
        </w:rPr>
        <w:t xml:space="preserve"> des structures étatiques</w:t>
      </w:r>
      <w:r w:rsidR="00FE79B7" w:rsidRPr="00C54AF9">
        <w:rPr>
          <w:rFonts w:ascii="Times New Roman" w:eastAsia="Calibri" w:hAnsi="Times New Roman" w:cs="Times New Roman"/>
          <w:sz w:val="24"/>
          <w:szCs w:val="24"/>
        </w:rPr>
        <w:t>,</w:t>
      </w:r>
      <w:r w:rsidRPr="00C54AF9">
        <w:rPr>
          <w:rFonts w:ascii="Times New Roman" w:eastAsia="Calibri" w:hAnsi="Times New Roman" w:cs="Times New Roman"/>
          <w:sz w:val="24"/>
          <w:szCs w:val="24"/>
        </w:rPr>
        <w:t xml:space="preserve"> </w:t>
      </w:r>
      <w:r w:rsidR="00FE79B7" w:rsidRPr="00C54AF9">
        <w:rPr>
          <w:rFonts w:ascii="Times New Roman" w:eastAsia="Calibri" w:hAnsi="Times New Roman" w:cs="Times New Roman"/>
          <w:sz w:val="24"/>
          <w:szCs w:val="24"/>
        </w:rPr>
        <w:t>soit</w:t>
      </w:r>
      <w:r w:rsidR="009D7694" w:rsidRPr="00C54AF9">
        <w:rPr>
          <w:rFonts w:ascii="Times New Roman" w:eastAsia="Calibri" w:hAnsi="Times New Roman" w:cs="Times New Roman"/>
          <w:sz w:val="24"/>
          <w:szCs w:val="24"/>
        </w:rPr>
        <w:t xml:space="preserve"> des entreprises extractives.</w:t>
      </w:r>
      <w:r w:rsidR="00FE79B7" w:rsidRPr="00C54AF9">
        <w:rPr>
          <w:rFonts w:ascii="Times New Roman" w:eastAsia="Calibri" w:hAnsi="Times New Roman" w:cs="Times New Roman"/>
          <w:sz w:val="24"/>
          <w:szCs w:val="24"/>
        </w:rPr>
        <w:t xml:space="preserve"> La majeure partie d’entre elles a </w:t>
      </w:r>
      <w:r w:rsidR="009D7694" w:rsidRPr="00C54AF9">
        <w:rPr>
          <w:rFonts w:ascii="Times New Roman" w:eastAsia="Calibri" w:hAnsi="Times New Roman" w:cs="Times New Roman"/>
          <w:sz w:val="24"/>
          <w:szCs w:val="24"/>
        </w:rPr>
        <w:t>été</w:t>
      </w:r>
      <w:r w:rsidR="00FE79B7" w:rsidRPr="00C54AF9">
        <w:rPr>
          <w:rFonts w:ascii="Times New Roman" w:eastAsia="Calibri" w:hAnsi="Times New Roman" w:cs="Times New Roman"/>
          <w:sz w:val="24"/>
          <w:szCs w:val="24"/>
        </w:rPr>
        <w:t xml:space="preserve"> approuvée</w:t>
      </w:r>
      <w:r w:rsidR="009D7694" w:rsidRPr="00C54AF9">
        <w:rPr>
          <w:rFonts w:ascii="Times New Roman" w:eastAsia="Calibri" w:hAnsi="Times New Roman" w:cs="Times New Roman"/>
          <w:sz w:val="24"/>
          <w:szCs w:val="24"/>
        </w:rPr>
        <w:t xml:space="preserve"> par les Responsables des entités respectives conformément au mécanisme de fiabilisation adopté par le Comité Exécutif. </w:t>
      </w:r>
      <w:r w:rsidR="00FE79B7" w:rsidRPr="00C54AF9">
        <w:rPr>
          <w:rFonts w:ascii="Times New Roman" w:eastAsia="Calibri" w:hAnsi="Times New Roman" w:cs="Times New Roman"/>
          <w:sz w:val="24"/>
          <w:szCs w:val="24"/>
        </w:rPr>
        <w:t>D’autres ont fait l’objet de publication officielle.</w:t>
      </w:r>
    </w:p>
    <w:p w14:paraId="151C736A" w14:textId="77777777" w:rsidR="00FE79B7" w:rsidRPr="00C54AF9" w:rsidRDefault="00FE79B7" w:rsidP="009D7694">
      <w:pPr>
        <w:pStyle w:val="Paragraphedeliste"/>
        <w:ind w:left="1080"/>
        <w:jc w:val="both"/>
        <w:rPr>
          <w:rFonts w:ascii="Times New Roman" w:eastAsia="Calibri" w:hAnsi="Times New Roman" w:cs="Times New Roman"/>
          <w:sz w:val="24"/>
          <w:szCs w:val="24"/>
        </w:rPr>
      </w:pPr>
      <w:r w:rsidRPr="00C54AF9">
        <w:rPr>
          <w:rFonts w:ascii="Times New Roman" w:eastAsia="Calibri" w:hAnsi="Times New Roman" w:cs="Times New Roman"/>
          <w:sz w:val="24"/>
          <w:szCs w:val="24"/>
        </w:rPr>
        <w:t>Ainsi, nous avons l’assurance que les informations contenues dans ce rapport sont fiables.</w:t>
      </w:r>
    </w:p>
    <w:p w14:paraId="7F8464C6" w14:textId="77777777" w:rsidR="00866639" w:rsidRPr="00730E67" w:rsidRDefault="00866639" w:rsidP="00730E67">
      <w:pPr>
        <w:ind w:left="360"/>
        <w:jc w:val="both"/>
        <w:rPr>
          <w:lang w:val="fr-BE"/>
        </w:rPr>
      </w:pPr>
    </w:p>
    <w:p w14:paraId="151AF3C6" w14:textId="77777777" w:rsidR="00F56766" w:rsidRDefault="00F56766" w:rsidP="00295E3B">
      <w:pPr>
        <w:pStyle w:val="Paragraphedeliste"/>
        <w:ind w:left="0"/>
        <w:jc w:val="both"/>
        <w:rPr>
          <w:rFonts w:ascii="Calibri" w:hAnsi="Calibri"/>
          <w:lang w:val="fr-BE"/>
        </w:rPr>
      </w:pPr>
    </w:p>
    <w:p w14:paraId="46069F83" w14:textId="77777777" w:rsidR="00F56766" w:rsidRDefault="00F56766" w:rsidP="00295E3B">
      <w:pPr>
        <w:pStyle w:val="Paragraphedeliste"/>
        <w:ind w:left="0"/>
        <w:jc w:val="both"/>
        <w:rPr>
          <w:rFonts w:ascii="Calibri" w:hAnsi="Calibri"/>
          <w:lang w:val="fr-BE"/>
        </w:rPr>
      </w:pPr>
    </w:p>
    <w:p w14:paraId="0722415B" w14:textId="77777777" w:rsidR="00295E3B" w:rsidRPr="0014480D" w:rsidRDefault="00295E3B" w:rsidP="00295E3B">
      <w:pPr>
        <w:rPr>
          <w:lang w:val="fr-BE"/>
        </w:rPr>
      </w:pPr>
    </w:p>
    <w:p w14:paraId="4831EE97" w14:textId="77777777" w:rsidR="00295E3B" w:rsidRDefault="00295E3B">
      <w:pPr>
        <w:rPr>
          <w:rFonts w:ascii="Times New Roman" w:hAnsi="Times New Roman"/>
          <w:sz w:val="28"/>
          <w:szCs w:val="28"/>
        </w:rPr>
      </w:pPr>
      <w:r>
        <w:rPr>
          <w:rFonts w:ascii="Times New Roman" w:hAnsi="Times New Roman"/>
          <w:sz w:val="28"/>
          <w:szCs w:val="28"/>
        </w:rPr>
        <w:br w:type="page"/>
      </w:r>
    </w:p>
    <w:p w14:paraId="3E9AE8FA" w14:textId="77777777" w:rsidR="00207B98" w:rsidRPr="00840E13" w:rsidRDefault="00207B98" w:rsidP="000738D3">
      <w:pPr>
        <w:pStyle w:val="Titre1"/>
        <w:numPr>
          <w:ilvl w:val="0"/>
          <w:numId w:val="4"/>
        </w:numPr>
        <w:spacing w:before="0" w:after="0"/>
        <w:ind w:left="426" w:right="1" w:hanging="425"/>
        <w:contextualSpacing w:val="0"/>
        <w:rPr>
          <w:rFonts w:ascii="Times New Roman" w:hAnsi="Times New Roman" w:cs="Times New Roman"/>
          <w:sz w:val="28"/>
          <w:szCs w:val="28"/>
        </w:rPr>
      </w:pPr>
      <w:bookmarkStart w:id="28" w:name="_Toc518468052"/>
      <w:r w:rsidRPr="00840E13">
        <w:rPr>
          <w:rFonts w:ascii="Times New Roman" w:hAnsi="Times New Roman" w:cs="Times New Roman"/>
          <w:sz w:val="28"/>
          <w:szCs w:val="28"/>
        </w:rPr>
        <w:lastRenderedPageBreak/>
        <w:t>CADRE LEGAL ET REGIME FISCAL APPLICABLES AUX INDUSTRIES MINIERES ET PETROLIERES EN RDC</w:t>
      </w:r>
      <w:bookmarkEnd w:id="3"/>
      <w:bookmarkEnd w:id="2"/>
      <w:bookmarkEnd w:id="1"/>
      <w:bookmarkEnd w:id="28"/>
    </w:p>
    <w:p w14:paraId="57E89BA8" w14:textId="77777777" w:rsidR="00207B98" w:rsidRPr="00840E13" w:rsidRDefault="00207B98" w:rsidP="00207B98">
      <w:pPr>
        <w:spacing w:line="240" w:lineRule="auto"/>
        <w:ind w:left="1418" w:right="567"/>
        <w:jc w:val="both"/>
        <w:rPr>
          <w:rFonts w:ascii="Times New Roman" w:hAnsi="Times New Roman"/>
        </w:rPr>
      </w:pPr>
    </w:p>
    <w:p w14:paraId="11A857E6" w14:textId="77777777" w:rsidR="00207B98" w:rsidRPr="00173CA9" w:rsidRDefault="00207B98" w:rsidP="003A6A80">
      <w:pPr>
        <w:spacing w:line="276" w:lineRule="auto"/>
        <w:ind w:right="567"/>
        <w:jc w:val="both"/>
        <w:rPr>
          <w:rFonts w:ascii="Times New Roman" w:hAnsi="Times New Roman"/>
          <w:sz w:val="24"/>
          <w:szCs w:val="24"/>
        </w:rPr>
      </w:pPr>
      <w:r w:rsidRPr="00173CA9">
        <w:rPr>
          <w:rFonts w:ascii="Times New Roman" w:hAnsi="Times New Roman"/>
          <w:sz w:val="24"/>
          <w:szCs w:val="24"/>
        </w:rPr>
        <w:t xml:space="preserve">En République Démocratique du Congo, les principes de gestion </w:t>
      </w:r>
      <w:r>
        <w:rPr>
          <w:rFonts w:ascii="Times New Roman" w:hAnsi="Times New Roman"/>
          <w:sz w:val="24"/>
          <w:szCs w:val="24"/>
        </w:rPr>
        <w:t>des ressources naturelles</w:t>
      </w:r>
      <w:r w:rsidRPr="00173CA9">
        <w:rPr>
          <w:rFonts w:ascii="Times New Roman" w:hAnsi="Times New Roman"/>
          <w:sz w:val="24"/>
          <w:szCs w:val="24"/>
        </w:rPr>
        <w:t xml:space="preserve"> sont posés dans la </w:t>
      </w:r>
      <w:r w:rsidRPr="002C5CE0">
        <w:rPr>
          <w:rFonts w:ascii="Times New Roman" w:hAnsi="Times New Roman"/>
          <w:b/>
          <w:sz w:val="24"/>
          <w:szCs w:val="24"/>
        </w:rPr>
        <w:t>Constitution</w:t>
      </w:r>
      <w:r w:rsidR="002C5CE0">
        <w:rPr>
          <w:rStyle w:val="Appelnotedebasdep"/>
          <w:rFonts w:ascii="Times New Roman" w:hAnsi="Times New Roman"/>
          <w:b/>
          <w:sz w:val="24"/>
          <w:szCs w:val="24"/>
        </w:rPr>
        <w:footnoteReference w:id="1"/>
      </w:r>
      <w:r>
        <w:rPr>
          <w:rStyle w:val="Appelnotedebasdep"/>
          <w:rFonts w:ascii="Times New Roman" w:hAnsi="Times New Roman"/>
          <w:b/>
          <w:sz w:val="24"/>
          <w:szCs w:val="24"/>
        </w:rPr>
        <w:t xml:space="preserve"> </w:t>
      </w:r>
      <w:r w:rsidRPr="00173CA9">
        <w:rPr>
          <w:rFonts w:ascii="Times New Roman" w:hAnsi="Times New Roman"/>
          <w:sz w:val="24"/>
          <w:szCs w:val="24"/>
        </w:rPr>
        <w:t>du 18 février 2006, telle que modifiée par la Loi n°11/002 du 20 janvier 2011</w:t>
      </w:r>
      <w:r>
        <w:rPr>
          <w:rStyle w:val="Appelnotedebasdep"/>
          <w:rFonts w:ascii="Times New Roman" w:hAnsi="Times New Roman"/>
          <w:sz w:val="24"/>
          <w:szCs w:val="24"/>
        </w:rPr>
        <w:footnoteReference w:id="2"/>
      </w:r>
      <w:r w:rsidRPr="00173CA9">
        <w:rPr>
          <w:rFonts w:ascii="Times New Roman" w:hAnsi="Times New Roman"/>
          <w:sz w:val="24"/>
          <w:szCs w:val="24"/>
        </w:rPr>
        <w:t xml:space="preserve">. </w:t>
      </w:r>
    </w:p>
    <w:p w14:paraId="0240BA32" w14:textId="77777777" w:rsidR="00207B98" w:rsidRPr="00173CA9"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sz w:val="24"/>
          <w:szCs w:val="24"/>
        </w:rPr>
        <w:t xml:space="preserve">En effet, l’article 9 de la Constitution dispose que </w:t>
      </w:r>
      <w:r w:rsidRPr="00173CA9">
        <w:rPr>
          <w:rFonts w:ascii="Times New Roman" w:hAnsi="Times New Roman"/>
          <w:i/>
          <w:color w:val="000000"/>
          <w:sz w:val="24"/>
          <w:szCs w:val="24"/>
          <w:lang w:eastAsia="fr-FR"/>
        </w:rPr>
        <w:t>«</w:t>
      </w:r>
      <w:r w:rsidRPr="00173CA9">
        <w:rPr>
          <w:rFonts w:ascii="Times New Roman" w:hAnsi="Times New Roman"/>
          <w:b/>
          <w:i/>
          <w:color w:val="000000"/>
          <w:sz w:val="24"/>
          <w:szCs w:val="24"/>
          <w:lang w:eastAsia="fr-FR"/>
        </w:rPr>
        <w:t>L’État exerce une souveraineté permanente notamment sur le sol, le sous-sol, les eaux et les forêts, sur les espaces aérien, fluvial, lacustre et maritime congolais ainsi que sur la mer territoriale congolaise et sur le plateau continental</w:t>
      </w:r>
      <w:r w:rsidRPr="00173CA9">
        <w:rPr>
          <w:rFonts w:ascii="Times New Roman" w:hAnsi="Times New Roman"/>
          <w:i/>
          <w:color w:val="000000"/>
          <w:sz w:val="24"/>
          <w:szCs w:val="24"/>
          <w:lang w:eastAsia="fr-FR"/>
        </w:rPr>
        <w:t>»</w:t>
      </w:r>
      <w:r w:rsidRPr="00173CA9">
        <w:rPr>
          <w:rFonts w:ascii="Times New Roman" w:hAnsi="Times New Roman"/>
          <w:color w:val="000000"/>
          <w:sz w:val="24"/>
          <w:szCs w:val="24"/>
          <w:lang w:eastAsia="fr-FR"/>
        </w:rPr>
        <w:t xml:space="preserve">. De ce fait, l’Etat, à travers le Gouvernement central, a la compétence exclusive de légiférer dans le domaine économique en prenant les lois sur les mines, minéraux et huiles minérales, l’industrie, les sources d’énergie et la conservation des ressources naturelles (Constitution article 202, point 36, litera f). </w:t>
      </w:r>
    </w:p>
    <w:p w14:paraId="0833C704" w14:textId="77777777" w:rsidR="00207B98" w:rsidRPr="00173CA9"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color w:val="000000"/>
          <w:sz w:val="24"/>
          <w:szCs w:val="24"/>
          <w:lang w:eastAsia="fr-FR"/>
        </w:rPr>
        <w:t xml:space="preserve">Par ailleurs, dans certaines matières relevant du domaine règlementaire des ressources naturelles, le Gouvernement Central collabore avec les gouvernements provinciaux (Constitution, </w:t>
      </w:r>
      <w:r w:rsidRPr="00173CA9">
        <w:rPr>
          <w:rFonts w:ascii="Times New Roman" w:hAnsi="Times New Roman"/>
          <w:sz w:val="24"/>
          <w:szCs w:val="24"/>
        </w:rPr>
        <w:t>article 203, points</w:t>
      </w:r>
      <w:r>
        <w:rPr>
          <w:rFonts w:ascii="Times New Roman" w:hAnsi="Times New Roman"/>
          <w:sz w:val="24"/>
          <w:szCs w:val="24"/>
        </w:rPr>
        <w:t xml:space="preserve"> 1,</w:t>
      </w:r>
      <w:r w:rsidRPr="00173CA9">
        <w:rPr>
          <w:rFonts w:ascii="Times New Roman" w:hAnsi="Times New Roman"/>
          <w:sz w:val="24"/>
          <w:szCs w:val="24"/>
        </w:rPr>
        <w:t xml:space="preserve"> 16, 18 et 19). Dans le secteur extractif, il s’agit notamment d</w:t>
      </w:r>
      <w:r w:rsidRPr="00173CA9">
        <w:rPr>
          <w:rFonts w:ascii="Times New Roman" w:hAnsi="Times New Roman"/>
          <w:color w:val="000000"/>
          <w:sz w:val="24"/>
          <w:szCs w:val="24"/>
          <w:lang w:eastAsia="fr-FR"/>
        </w:rPr>
        <w:t xml:space="preserve">es droits </w:t>
      </w:r>
      <w:r w:rsidRPr="00C61496">
        <w:rPr>
          <w:rFonts w:ascii="Times New Roman" w:hAnsi="Times New Roman"/>
          <w:color w:val="000000"/>
          <w:sz w:val="24"/>
          <w:szCs w:val="24"/>
          <w:lang w:eastAsia="fr-FR"/>
        </w:rPr>
        <w:t>humains,</w:t>
      </w:r>
      <w:r w:rsidRPr="00173CA9">
        <w:rPr>
          <w:rFonts w:ascii="Times New Roman" w:hAnsi="Times New Roman"/>
          <w:color w:val="000000"/>
          <w:sz w:val="24"/>
          <w:szCs w:val="24"/>
          <w:lang w:eastAsia="fr-FR"/>
        </w:rPr>
        <w:t xml:space="preserve"> fonciers et miniers, de l’aménagement du territoire, du régime des eaux et forêts; de la protection de l’environnement, des sites naturels, des paysages et la conservation des sites; de la réglementation sur les régimes énergétiques.</w:t>
      </w:r>
    </w:p>
    <w:p w14:paraId="4566966F" w14:textId="77777777" w:rsidR="00207B98" w:rsidRDefault="00207B98" w:rsidP="003A6A80">
      <w:pPr>
        <w:spacing w:line="276" w:lineRule="auto"/>
        <w:ind w:right="567"/>
        <w:jc w:val="both"/>
        <w:rPr>
          <w:rFonts w:ascii="Times New Roman" w:hAnsi="Times New Roman"/>
          <w:color w:val="000000"/>
          <w:sz w:val="24"/>
          <w:szCs w:val="24"/>
          <w:lang w:eastAsia="fr-FR"/>
        </w:rPr>
      </w:pPr>
      <w:r w:rsidRPr="00173CA9">
        <w:rPr>
          <w:rFonts w:ascii="Times New Roman" w:hAnsi="Times New Roman"/>
          <w:color w:val="000000"/>
          <w:sz w:val="24"/>
          <w:szCs w:val="24"/>
          <w:lang w:eastAsia="fr-FR"/>
        </w:rPr>
        <w:t xml:space="preserve">Le présent rapport décrit le cadre légal et le régime fiscal applicables aux industries minières et pétrolières en République Démocratique du Congo d’une part et, d’autre part, </w:t>
      </w:r>
      <w:r>
        <w:rPr>
          <w:rFonts w:ascii="Times New Roman" w:hAnsi="Times New Roman"/>
          <w:color w:val="000000"/>
          <w:sz w:val="24"/>
          <w:szCs w:val="24"/>
          <w:lang w:eastAsia="fr-FR"/>
        </w:rPr>
        <w:t>présente</w:t>
      </w:r>
      <w:r w:rsidRPr="00173CA9">
        <w:rPr>
          <w:rFonts w:ascii="Times New Roman" w:hAnsi="Times New Roman"/>
          <w:color w:val="000000"/>
          <w:sz w:val="24"/>
          <w:szCs w:val="24"/>
          <w:lang w:eastAsia="fr-FR"/>
        </w:rPr>
        <w:t xml:space="preserve">, à l’aide des tableaux en format exploitable postés sur le </w:t>
      </w:r>
      <w:hyperlink r:id="rId15" w:history="1">
        <w:r w:rsidRPr="00C61496">
          <w:rPr>
            <w:rStyle w:val="Lienhypertexte"/>
            <w:b/>
          </w:rPr>
          <w:t>site</w:t>
        </w:r>
      </w:hyperlink>
      <w:r w:rsidRPr="00173CA9">
        <w:rPr>
          <w:rFonts w:ascii="Times New Roman" w:hAnsi="Times New Roman"/>
          <w:color w:val="000000"/>
          <w:sz w:val="24"/>
          <w:szCs w:val="24"/>
          <w:lang w:eastAsia="fr-FR"/>
        </w:rPr>
        <w:t xml:space="preserve"> web de l’ITIE-RDC</w:t>
      </w:r>
      <w:r>
        <w:rPr>
          <w:rStyle w:val="Appelnotedebasdep"/>
          <w:rFonts w:ascii="Times New Roman" w:hAnsi="Times New Roman"/>
          <w:color w:val="000000"/>
          <w:sz w:val="24"/>
          <w:szCs w:val="24"/>
          <w:lang w:eastAsia="fr-FR"/>
        </w:rPr>
        <w:footnoteReference w:id="3"/>
      </w:r>
      <w:r w:rsidRPr="00173CA9">
        <w:rPr>
          <w:rFonts w:ascii="Times New Roman" w:hAnsi="Times New Roman"/>
          <w:color w:val="000000"/>
          <w:sz w:val="24"/>
          <w:szCs w:val="24"/>
          <w:lang w:eastAsia="fr-FR"/>
        </w:rPr>
        <w:t>, la catégorisation des flux des revenus perçus selon le cas par le Gouvernement central</w:t>
      </w:r>
      <w:r>
        <w:rPr>
          <w:rFonts w:ascii="Times New Roman" w:hAnsi="Times New Roman"/>
          <w:color w:val="000000"/>
          <w:sz w:val="24"/>
          <w:szCs w:val="24"/>
          <w:lang w:eastAsia="fr-FR"/>
        </w:rPr>
        <w:t xml:space="preserve">, </w:t>
      </w:r>
      <w:r w:rsidRPr="00173CA9">
        <w:rPr>
          <w:rFonts w:ascii="Times New Roman" w:hAnsi="Times New Roman"/>
          <w:color w:val="000000"/>
          <w:sz w:val="24"/>
          <w:szCs w:val="24"/>
          <w:lang w:eastAsia="fr-FR"/>
        </w:rPr>
        <w:t>par les provinces</w:t>
      </w:r>
      <w:r>
        <w:rPr>
          <w:rFonts w:ascii="Times New Roman" w:hAnsi="Times New Roman"/>
          <w:color w:val="000000"/>
          <w:sz w:val="24"/>
          <w:szCs w:val="24"/>
          <w:lang w:eastAsia="fr-FR"/>
        </w:rPr>
        <w:t xml:space="preserve"> et par les EPE</w:t>
      </w:r>
      <w:r w:rsidRPr="00173CA9">
        <w:rPr>
          <w:rFonts w:ascii="Times New Roman" w:hAnsi="Times New Roman"/>
          <w:color w:val="000000"/>
          <w:sz w:val="24"/>
          <w:szCs w:val="24"/>
          <w:lang w:eastAsia="fr-FR"/>
        </w:rPr>
        <w:t>.</w:t>
      </w:r>
    </w:p>
    <w:p w14:paraId="0BA5F0B7" w14:textId="77777777" w:rsidR="003A6A80" w:rsidRDefault="003A6A80">
      <w:bookmarkStart w:id="29" w:name="_Toc515589767"/>
      <w:bookmarkStart w:id="30" w:name="_Toc515792927"/>
      <w:bookmarkStart w:id="31" w:name="_Toc515793166"/>
      <w:r>
        <w:br w:type="page"/>
      </w:r>
    </w:p>
    <w:p w14:paraId="78106336" w14:textId="3EB35111" w:rsidR="00207B98" w:rsidRPr="00840E13" w:rsidRDefault="00207B98" w:rsidP="00207B98">
      <w:pPr>
        <w:pStyle w:val="Titre2"/>
        <w:rPr>
          <w:rFonts w:ascii="Times New Roman" w:hAnsi="Times New Roman" w:cs="Times New Roman"/>
          <w:sz w:val="24"/>
          <w:szCs w:val="24"/>
        </w:rPr>
      </w:pPr>
      <w:bookmarkStart w:id="32" w:name="_Toc518135482"/>
      <w:bookmarkStart w:id="33" w:name="_Toc518468053"/>
      <w:r>
        <w:rPr>
          <w:rFonts w:ascii="Times New Roman" w:hAnsi="Times New Roman" w:cs="Times New Roman"/>
          <w:sz w:val="24"/>
          <w:szCs w:val="24"/>
        </w:rPr>
        <w:lastRenderedPageBreak/>
        <w:t xml:space="preserve">I.1. </w:t>
      </w:r>
      <w:r w:rsidR="00AA5F3F" w:rsidRPr="00840E13">
        <w:rPr>
          <w:rFonts w:ascii="Times New Roman" w:hAnsi="Times New Roman" w:cs="Times New Roman"/>
          <w:caps w:val="0"/>
          <w:sz w:val="24"/>
          <w:szCs w:val="24"/>
        </w:rPr>
        <w:t xml:space="preserve">Cadre légal et régime fiscal applicables au secteur </w:t>
      </w:r>
      <w:bookmarkEnd w:id="29"/>
      <w:bookmarkEnd w:id="30"/>
      <w:bookmarkEnd w:id="31"/>
      <w:bookmarkEnd w:id="32"/>
      <w:r w:rsidR="00AA5F3F" w:rsidRPr="00840E13">
        <w:rPr>
          <w:rFonts w:ascii="Times New Roman" w:hAnsi="Times New Roman" w:cs="Times New Roman"/>
          <w:caps w:val="0"/>
          <w:sz w:val="24"/>
          <w:szCs w:val="24"/>
        </w:rPr>
        <w:t>pétrolier</w:t>
      </w:r>
      <w:bookmarkEnd w:id="33"/>
    </w:p>
    <w:p w14:paraId="27BAFA71" w14:textId="77777777" w:rsidR="00207B98" w:rsidRPr="00840E13" w:rsidRDefault="00207B98" w:rsidP="002C5CE0">
      <w:pPr>
        <w:pStyle w:val="Titre3"/>
        <w:ind w:left="426"/>
        <w:rPr>
          <w:rFonts w:ascii="Times New Roman" w:hAnsi="Times New Roman" w:cs="Times New Roman"/>
          <w:sz w:val="24"/>
          <w:szCs w:val="24"/>
        </w:rPr>
      </w:pPr>
      <w:bookmarkStart w:id="34" w:name="_Toc515589768"/>
      <w:bookmarkStart w:id="35" w:name="_Toc515792928"/>
      <w:bookmarkStart w:id="36" w:name="_Toc515793167"/>
      <w:bookmarkStart w:id="37" w:name="_Toc518135483"/>
      <w:bookmarkStart w:id="38" w:name="_Toc518468054"/>
      <w:r>
        <w:rPr>
          <w:rFonts w:ascii="Times New Roman" w:hAnsi="Times New Roman" w:cs="Times New Roman"/>
          <w:sz w:val="24"/>
          <w:szCs w:val="24"/>
        </w:rPr>
        <w:t xml:space="preserve">I.1.1. </w:t>
      </w:r>
      <w:r w:rsidRPr="00840E13">
        <w:rPr>
          <w:rFonts w:ascii="Times New Roman" w:hAnsi="Times New Roman" w:cs="Times New Roman"/>
          <w:sz w:val="24"/>
          <w:szCs w:val="24"/>
        </w:rPr>
        <w:t>Cadre légal et aperçu des lois et règlements en vigueur</w:t>
      </w:r>
      <w:bookmarkEnd w:id="34"/>
      <w:bookmarkEnd w:id="35"/>
      <w:bookmarkEnd w:id="36"/>
      <w:bookmarkEnd w:id="37"/>
      <w:bookmarkEnd w:id="38"/>
      <w:r w:rsidRPr="00840E13">
        <w:rPr>
          <w:rFonts w:ascii="Times New Roman" w:hAnsi="Times New Roman" w:cs="Times New Roman"/>
          <w:sz w:val="24"/>
          <w:szCs w:val="24"/>
        </w:rPr>
        <w:t xml:space="preserve"> </w:t>
      </w:r>
    </w:p>
    <w:p w14:paraId="4B268336" w14:textId="77777777" w:rsidR="00207B98" w:rsidRPr="00173CA9" w:rsidRDefault="00207B98" w:rsidP="003A6A80">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En République Démocratique du Congo, le secteur des hydrocarbures est essentiellement régi par :</w:t>
      </w:r>
    </w:p>
    <w:p w14:paraId="1F84975F" w14:textId="77777777" w:rsidR="00207B98" w:rsidRPr="00173CA9" w:rsidRDefault="00207B98" w:rsidP="003A6A80">
      <w:pPr>
        <w:spacing w:after="0" w:line="276" w:lineRule="auto"/>
        <w:ind w:left="426" w:right="567"/>
        <w:jc w:val="both"/>
        <w:rPr>
          <w:rFonts w:ascii="Times New Roman" w:hAnsi="Times New Roman"/>
          <w:sz w:val="24"/>
          <w:szCs w:val="24"/>
        </w:rPr>
      </w:pPr>
    </w:p>
    <w:p w14:paraId="3CAFC871" w14:textId="77777777" w:rsidR="00207B98" w:rsidRPr="00173CA9" w:rsidRDefault="00207B98" w:rsidP="000738D3">
      <w:pPr>
        <w:numPr>
          <w:ilvl w:val="0"/>
          <w:numId w:val="17"/>
        </w:numPr>
        <w:spacing w:after="0" w:line="276" w:lineRule="auto"/>
        <w:ind w:left="993" w:right="567" w:hanging="284"/>
        <w:jc w:val="both"/>
        <w:rPr>
          <w:rFonts w:ascii="Times New Roman" w:hAnsi="Times New Roman"/>
          <w:sz w:val="24"/>
          <w:szCs w:val="24"/>
        </w:rPr>
      </w:pPr>
      <w:r w:rsidRPr="00173CA9">
        <w:rPr>
          <w:rFonts w:ascii="Times New Roman" w:hAnsi="Times New Roman"/>
          <w:sz w:val="24"/>
          <w:szCs w:val="24"/>
        </w:rPr>
        <w:t>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sidRPr="00173CA9">
        <w:rPr>
          <w:rStyle w:val="Appelnotedebasdep"/>
          <w:rFonts w:ascii="Times New Roman" w:hAnsi="Times New Roman"/>
          <w:sz w:val="24"/>
          <w:szCs w:val="24"/>
        </w:rPr>
        <w:footnoteReference w:id="4"/>
      </w:r>
      <w:r w:rsidRPr="00173CA9">
        <w:rPr>
          <w:rFonts w:ascii="Times New Roman" w:hAnsi="Times New Roman"/>
          <w:sz w:val="24"/>
          <w:szCs w:val="24"/>
        </w:rPr>
        <w:t xml:space="preserve"> portant régime général des hydrocarbures ou </w:t>
      </w:r>
      <w:hyperlink r:id="rId16" w:history="1">
        <w:r w:rsidRPr="00D92C56">
          <w:rPr>
            <w:rStyle w:val="Lienhypertexte"/>
            <w:rFonts w:ascii="Times New Roman" w:hAnsi="Times New Roman"/>
            <w:sz w:val="24"/>
            <w:szCs w:val="24"/>
          </w:rPr>
          <w:t>Code des Hydrocarbures</w:t>
        </w:r>
      </w:hyperlink>
      <w:r w:rsidRPr="00173CA9">
        <w:rPr>
          <w:rFonts w:ascii="Times New Roman" w:hAnsi="Times New Roman"/>
          <w:sz w:val="24"/>
          <w:szCs w:val="24"/>
        </w:rPr>
        <w:t> </w:t>
      </w:r>
      <w:r>
        <w:rPr>
          <w:rFonts w:ascii="Times New Roman" w:hAnsi="Times New Roman"/>
          <w:sz w:val="24"/>
          <w:szCs w:val="24"/>
        </w:rPr>
        <w:t xml:space="preserve">(Ce Code peut également être téléchargé sur ce </w:t>
      </w:r>
      <w:hyperlink r:id="rId17" w:history="1">
        <w:r w:rsidRPr="000E646A">
          <w:rPr>
            <w:rStyle w:val="Lienhypertexte"/>
            <w:rFonts w:ascii="Times New Roman" w:hAnsi="Times New Roman"/>
            <w:sz w:val="24"/>
            <w:szCs w:val="24"/>
          </w:rPr>
          <w:t>lien</w:t>
        </w:r>
      </w:hyperlink>
      <w:r>
        <w:rPr>
          <w:rFonts w:ascii="Times New Roman" w:hAnsi="Times New Roman"/>
          <w:sz w:val="24"/>
          <w:szCs w:val="24"/>
        </w:rPr>
        <w:t>)</w:t>
      </w:r>
      <w:r>
        <w:rPr>
          <w:rStyle w:val="Appelnotedebasdep"/>
          <w:rFonts w:ascii="Times New Roman" w:hAnsi="Times New Roman"/>
          <w:sz w:val="24"/>
          <w:szCs w:val="24"/>
        </w:rPr>
        <w:footnoteReference w:id="5"/>
      </w:r>
      <w:r w:rsidRPr="00173CA9">
        <w:rPr>
          <w:rFonts w:ascii="Times New Roman" w:hAnsi="Times New Roman"/>
          <w:sz w:val="24"/>
          <w:szCs w:val="24"/>
        </w:rPr>
        <w:t>;</w:t>
      </w:r>
    </w:p>
    <w:p w14:paraId="3EA961FB" w14:textId="77777777" w:rsidR="00207B98" w:rsidRPr="00173CA9" w:rsidRDefault="00207B98" w:rsidP="000738D3">
      <w:pPr>
        <w:numPr>
          <w:ilvl w:val="0"/>
          <w:numId w:val="17"/>
        </w:numPr>
        <w:spacing w:after="0" w:line="276" w:lineRule="auto"/>
        <w:ind w:left="993" w:right="567" w:hanging="284"/>
        <w:jc w:val="both"/>
        <w:rPr>
          <w:rFonts w:ascii="Times New Roman" w:hAnsi="Times New Roman"/>
          <w:sz w:val="24"/>
          <w:szCs w:val="24"/>
        </w:rPr>
      </w:pPr>
      <w:r w:rsidRPr="00173CA9">
        <w:rPr>
          <w:rFonts w:ascii="Times New Roman" w:hAnsi="Times New Roman"/>
          <w:sz w:val="24"/>
          <w:szCs w:val="24"/>
        </w:rPr>
        <w:t>le Décret n°16/010 du 19 avril 2016</w:t>
      </w:r>
      <w:r>
        <w:rPr>
          <w:rStyle w:val="Appelnotedebasdep"/>
          <w:rFonts w:ascii="Times New Roman" w:hAnsi="Times New Roman"/>
          <w:sz w:val="24"/>
          <w:szCs w:val="24"/>
        </w:rPr>
        <w:footnoteReference w:id="6"/>
      </w:r>
      <w:r w:rsidRPr="00173CA9">
        <w:rPr>
          <w:rFonts w:ascii="Times New Roman" w:hAnsi="Times New Roman"/>
          <w:sz w:val="24"/>
          <w:szCs w:val="24"/>
        </w:rPr>
        <w:t xml:space="preserve"> portant </w:t>
      </w:r>
      <w:hyperlink r:id="rId18" w:history="1">
        <w:r w:rsidRPr="000E646A">
          <w:rPr>
            <w:rStyle w:val="Lienhypertexte"/>
            <w:rFonts w:ascii="Times New Roman" w:hAnsi="Times New Roman"/>
            <w:sz w:val="24"/>
            <w:szCs w:val="24"/>
          </w:rPr>
          <w:t>Règlement d’hydrocarbures</w:t>
        </w:r>
      </w:hyperlink>
      <w:r w:rsidRPr="00173CA9">
        <w:rPr>
          <w:rFonts w:ascii="Times New Roman" w:hAnsi="Times New Roman"/>
          <w:sz w:val="24"/>
          <w:szCs w:val="24"/>
        </w:rPr>
        <w:t xml:space="preserve">. </w:t>
      </w:r>
    </w:p>
    <w:p w14:paraId="0320A63D" w14:textId="77777777" w:rsidR="00207B98" w:rsidRPr="00173CA9" w:rsidRDefault="00207B98" w:rsidP="002C5CE0">
      <w:pPr>
        <w:spacing w:after="0" w:line="240" w:lineRule="auto"/>
        <w:ind w:left="426" w:right="567"/>
        <w:jc w:val="both"/>
        <w:rPr>
          <w:rFonts w:ascii="Times New Roman" w:hAnsi="Times New Roman"/>
          <w:sz w:val="24"/>
          <w:szCs w:val="24"/>
        </w:rPr>
      </w:pPr>
    </w:p>
    <w:p w14:paraId="169633A6" w14:textId="77777777" w:rsidR="00207B98" w:rsidRPr="00173CA9" w:rsidRDefault="00207B98" w:rsidP="002C5CE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La loi portant régime général des hydrocarbures fixe le régime général applicable aux hydrocarbures. Elle définit le régime juridique et fiscal d'une part et, d’autre part, les  activités de  l’amont et de l’aval pétrolier. Cette loi abroge l'ordonnance-loi n°81-013 du 02 avril 1981 portant législation générale sur les mines et les hydrocarbures. Elle reprend les grandes lignes de cette dernière mais s’en démarque au travers les innovations qu’elle apporte, et qui sont reprises au point 1.5 ci-dessous.</w:t>
      </w:r>
    </w:p>
    <w:p w14:paraId="1B4837B5" w14:textId="77777777" w:rsidR="00207B98" w:rsidRPr="00173CA9" w:rsidRDefault="00207B98" w:rsidP="00207B98">
      <w:pPr>
        <w:spacing w:after="0" w:line="240" w:lineRule="auto"/>
        <w:ind w:left="993" w:right="567"/>
        <w:jc w:val="both"/>
        <w:rPr>
          <w:rFonts w:ascii="Times New Roman" w:hAnsi="Times New Roman"/>
          <w:sz w:val="24"/>
          <w:szCs w:val="24"/>
        </w:rPr>
      </w:pPr>
    </w:p>
    <w:p w14:paraId="3C8DE169" w14:textId="77777777" w:rsidR="00207B98" w:rsidRPr="00173CA9" w:rsidRDefault="00207B98" w:rsidP="002C5CE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Les autres textes  réglementaires en  vigueur  dans  le  secteur  des  hydrocarbures  sont  ceux régissant essentiellement les activités d’hydrocarbures en aval qui n’intéressent pas le présent rapport</w:t>
      </w:r>
      <w:r>
        <w:rPr>
          <w:rFonts w:ascii="Times New Roman" w:hAnsi="Times New Roman"/>
          <w:sz w:val="24"/>
          <w:szCs w:val="24"/>
        </w:rPr>
        <w:t>, le processus ITIE ne traitant que de l’amont pétrolier ou des industries extractives</w:t>
      </w:r>
      <w:r w:rsidRPr="00173CA9">
        <w:rPr>
          <w:rFonts w:ascii="Times New Roman" w:hAnsi="Times New Roman"/>
          <w:sz w:val="24"/>
          <w:szCs w:val="24"/>
        </w:rPr>
        <w:t>.</w:t>
      </w:r>
    </w:p>
    <w:p w14:paraId="2A0D5E00" w14:textId="77777777" w:rsidR="00207B98" w:rsidRPr="00840E13" w:rsidRDefault="00207B98" w:rsidP="00207B98">
      <w:pPr>
        <w:spacing w:after="0" w:line="240" w:lineRule="auto"/>
        <w:ind w:left="1418" w:right="567"/>
        <w:jc w:val="both"/>
        <w:rPr>
          <w:rFonts w:ascii="Times New Roman" w:hAnsi="Times New Roman"/>
          <w:sz w:val="8"/>
          <w:szCs w:val="8"/>
        </w:rPr>
      </w:pPr>
    </w:p>
    <w:p w14:paraId="5DDBEC35" w14:textId="77777777" w:rsidR="00207B98" w:rsidRPr="00840E13" w:rsidRDefault="00207B98" w:rsidP="002C5CE0">
      <w:pPr>
        <w:pStyle w:val="Titre3"/>
        <w:spacing w:before="240"/>
        <w:ind w:left="426"/>
        <w:rPr>
          <w:rFonts w:ascii="Times New Roman" w:hAnsi="Times New Roman" w:cs="Times New Roman"/>
          <w:sz w:val="24"/>
          <w:szCs w:val="24"/>
        </w:rPr>
      </w:pPr>
      <w:bookmarkStart w:id="39" w:name="_Toc515589769"/>
      <w:bookmarkStart w:id="40" w:name="_Toc515792929"/>
      <w:bookmarkStart w:id="41" w:name="_Toc515793168"/>
      <w:bookmarkStart w:id="42" w:name="_Toc518135484"/>
      <w:bookmarkStart w:id="43" w:name="_Toc518468055"/>
      <w:r>
        <w:rPr>
          <w:rFonts w:ascii="Times New Roman" w:hAnsi="Times New Roman" w:cs="Times New Roman"/>
          <w:sz w:val="24"/>
          <w:szCs w:val="24"/>
        </w:rPr>
        <w:t xml:space="preserve">I.1.2. </w:t>
      </w:r>
      <w:r w:rsidRPr="00840E13">
        <w:rPr>
          <w:rFonts w:ascii="Times New Roman" w:hAnsi="Times New Roman" w:cs="Times New Roman"/>
          <w:sz w:val="24"/>
          <w:szCs w:val="24"/>
        </w:rPr>
        <w:t>Régime fiscal, douanier et de change des industries pétrolières</w:t>
      </w:r>
      <w:bookmarkEnd w:id="39"/>
      <w:bookmarkEnd w:id="40"/>
      <w:bookmarkEnd w:id="41"/>
      <w:bookmarkEnd w:id="42"/>
      <w:bookmarkEnd w:id="43"/>
    </w:p>
    <w:p w14:paraId="59018EA9" w14:textId="77777777" w:rsidR="00207B98" w:rsidRPr="00173CA9" w:rsidRDefault="00207B98" w:rsidP="003A6A80">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Dans ses dispositions transitoires (article 189), 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 dispose que </w:t>
      </w:r>
      <w:r w:rsidRPr="00173CA9">
        <w:rPr>
          <w:rFonts w:ascii="Times New Roman" w:hAnsi="Times New Roman"/>
          <w:b/>
          <w:i/>
          <w:sz w:val="24"/>
          <w:szCs w:val="24"/>
        </w:rPr>
        <w:t>« Sous réserve du respect des dispositions relatives à la protection de l'environnement, à la sécurité et à l'hygiène qui sont d'application immédiate,</w:t>
      </w:r>
      <w:r w:rsidRPr="00173CA9">
        <w:rPr>
          <w:rFonts w:ascii="Times New Roman" w:hAnsi="Times New Roman"/>
          <w:i/>
          <w:sz w:val="24"/>
          <w:szCs w:val="24"/>
        </w:rPr>
        <w:t xml:space="preserve"> </w:t>
      </w:r>
      <w:r w:rsidRPr="00173CA9">
        <w:rPr>
          <w:rFonts w:ascii="Times New Roman" w:hAnsi="Times New Roman"/>
          <w:b/>
          <w:i/>
          <w:sz w:val="24"/>
          <w:szCs w:val="24"/>
        </w:rPr>
        <w:t>les droits d'hydrocarbures régulièrement acquis avant l'entrée en vigueur de la présente loi</w:t>
      </w:r>
      <w:r w:rsidRPr="00173CA9">
        <w:rPr>
          <w:rFonts w:ascii="Times New Roman" w:hAnsi="Times New Roman"/>
          <w:i/>
          <w:sz w:val="24"/>
          <w:szCs w:val="24"/>
        </w:rPr>
        <w:t xml:space="preserve"> </w:t>
      </w:r>
      <w:r w:rsidRPr="00173CA9">
        <w:rPr>
          <w:rFonts w:ascii="Times New Roman" w:hAnsi="Times New Roman"/>
          <w:b/>
          <w:i/>
          <w:sz w:val="24"/>
          <w:szCs w:val="24"/>
        </w:rPr>
        <w:t>conservent leur validité jusqu'à leur expiration. A leur renouvellement, ils sont régis par les dispositions de la présente loi »</w:t>
      </w:r>
      <w:r w:rsidRPr="00173CA9">
        <w:rPr>
          <w:rFonts w:ascii="Times New Roman" w:hAnsi="Times New Roman"/>
          <w:i/>
          <w:sz w:val="24"/>
          <w:szCs w:val="24"/>
        </w:rPr>
        <w:t xml:space="preserve">. </w:t>
      </w:r>
    </w:p>
    <w:p w14:paraId="2BCAC855" w14:textId="77777777" w:rsidR="00207B98" w:rsidRPr="00173CA9" w:rsidRDefault="00207B98" w:rsidP="002C5CE0">
      <w:pPr>
        <w:spacing w:after="0" w:line="240" w:lineRule="auto"/>
        <w:ind w:left="426" w:right="567"/>
        <w:jc w:val="both"/>
        <w:rPr>
          <w:rFonts w:ascii="Times New Roman" w:hAnsi="Times New Roman"/>
          <w:sz w:val="24"/>
          <w:szCs w:val="24"/>
        </w:rPr>
      </w:pPr>
    </w:p>
    <w:p w14:paraId="1D741DAD" w14:textId="77777777" w:rsidR="00207B98" w:rsidRDefault="00207B98" w:rsidP="003A6A80">
      <w:pPr>
        <w:spacing w:after="0" w:line="276" w:lineRule="auto"/>
        <w:ind w:left="426" w:right="567"/>
        <w:jc w:val="both"/>
        <w:rPr>
          <w:rFonts w:ascii="Times New Roman" w:hAnsi="Times New Roman"/>
          <w:sz w:val="24"/>
          <w:szCs w:val="24"/>
        </w:rPr>
      </w:pPr>
      <w:r>
        <w:rPr>
          <w:rFonts w:ascii="Times New Roman" w:hAnsi="Times New Roman"/>
          <w:sz w:val="24"/>
          <w:szCs w:val="24"/>
        </w:rPr>
        <w:t>De cette disposition, i</w:t>
      </w:r>
      <w:r w:rsidRPr="00173CA9">
        <w:rPr>
          <w:rFonts w:ascii="Times New Roman" w:hAnsi="Times New Roman"/>
          <w:sz w:val="24"/>
          <w:szCs w:val="24"/>
        </w:rPr>
        <w:t>l y a lieu de constater</w:t>
      </w:r>
      <w:r>
        <w:rPr>
          <w:rFonts w:ascii="Times New Roman" w:hAnsi="Times New Roman"/>
          <w:sz w:val="24"/>
          <w:szCs w:val="24"/>
        </w:rPr>
        <w:t xml:space="preserve">, </w:t>
      </w:r>
      <w:r w:rsidRPr="00173CA9">
        <w:rPr>
          <w:rFonts w:ascii="Times New Roman" w:hAnsi="Times New Roman"/>
          <w:sz w:val="24"/>
          <w:szCs w:val="24"/>
        </w:rPr>
        <w:t xml:space="preserve">à </w:t>
      </w:r>
      <w:r>
        <w:rPr>
          <w:rFonts w:ascii="Times New Roman" w:hAnsi="Times New Roman"/>
          <w:sz w:val="24"/>
          <w:szCs w:val="24"/>
        </w:rPr>
        <w:t xml:space="preserve">côté du régime fiscal, douanier et de change du Code des </w:t>
      </w:r>
      <w:r w:rsidRPr="00173CA9">
        <w:rPr>
          <w:rFonts w:ascii="Times New Roman" w:hAnsi="Times New Roman"/>
          <w:sz w:val="24"/>
          <w:szCs w:val="24"/>
        </w:rPr>
        <w:t>Hydrocarbures</w:t>
      </w:r>
      <w:r>
        <w:rPr>
          <w:rFonts w:ascii="Times New Roman" w:hAnsi="Times New Roman"/>
          <w:sz w:val="24"/>
          <w:szCs w:val="24"/>
        </w:rPr>
        <w:t>,</w:t>
      </w:r>
      <w:r w:rsidRPr="00173CA9">
        <w:rPr>
          <w:rFonts w:ascii="Times New Roman" w:hAnsi="Times New Roman"/>
          <w:sz w:val="24"/>
          <w:szCs w:val="24"/>
        </w:rPr>
        <w:t xml:space="preserve"> la survivance des régimes </w:t>
      </w:r>
      <w:r>
        <w:rPr>
          <w:rFonts w:ascii="Times New Roman" w:hAnsi="Times New Roman"/>
          <w:sz w:val="24"/>
          <w:szCs w:val="24"/>
        </w:rPr>
        <w:t xml:space="preserve">découlant des droits d’hydrocarbures régulièrement acquis avant l’entrée en vigueur dudit Code, que ces droits proviennent des </w:t>
      </w:r>
      <w:r w:rsidRPr="00EF4790">
        <w:rPr>
          <w:rFonts w:ascii="Times New Roman" w:hAnsi="Times New Roman"/>
          <w:sz w:val="24"/>
          <w:szCs w:val="24"/>
        </w:rPr>
        <w:t>C</w:t>
      </w:r>
      <w:r w:rsidRPr="00537DCB">
        <w:rPr>
          <w:rFonts w:ascii="Times New Roman" w:hAnsi="Times New Roman"/>
          <w:sz w:val="24"/>
          <w:szCs w:val="24"/>
        </w:rPr>
        <w:t>ontrats</w:t>
      </w:r>
      <w:r w:rsidRPr="00EF4790">
        <w:rPr>
          <w:rFonts w:ascii="Times New Roman" w:hAnsi="Times New Roman"/>
          <w:sz w:val="24"/>
          <w:szCs w:val="24"/>
        </w:rPr>
        <w:t xml:space="preserve"> de P</w:t>
      </w:r>
      <w:r w:rsidRPr="00537DCB">
        <w:rPr>
          <w:rFonts w:ascii="Times New Roman" w:hAnsi="Times New Roman"/>
          <w:sz w:val="24"/>
          <w:szCs w:val="24"/>
        </w:rPr>
        <w:t xml:space="preserve">artage </w:t>
      </w:r>
      <w:r w:rsidRPr="00DF00E6">
        <w:rPr>
          <w:rFonts w:ascii="Times New Roman" w:hAnsi="Times New Roman"/>
          <w:sz w:val="24"/>
          <w:szCs w:val="24"/>
        </w:rPr>
        <w:t xml:space="preserve">de </w:t>
      </w:r>
      <w:r>
        <w:rPr>
          <w:rFonts w:ascii="Times New Roman" w:hAnsi="Times New Roman"/>
          <w:sz w:val="24"/>
          <w:szCs w:val="24"/>
        </w:rPr>
        <w:t>P</w:t>
      </w:r>
      <w:r w:rsidRPr="00537DCB">
        <w:rPr>
          <w:rFonts w:ascii="Times New Roman" w:hAnsi="Times New Roman"/>
          <w:sz w:val="24"/>
          <w:szCs w:val="24"/>
        </w:rPr>
        <w:t xml:space="preserve">roduction </w:t>
      </w:r>
      <w:r>
        <w:rPr>
          <w:rFonts w:ascii="Times New Roman" w:hAnsi="Times New Roman"/>
          <w:sz w:val="24"/>
          <w:szCs w:val="24"/>
        </w:rPr>
        <w:t>(CPP) ou</w:t>
      </w:r>
      <w:r w:rsidRPr="00DF00E6">
        <w:rPr>
          <w:rFonts w:ascii="Times New Roman" w:hAnsi="Times New Roman"/>
          <w:sz w:val="24"/>
          <w:szCs w:val="24"/>
        </w:rPr>
        <w:t xml:space="preserve"> des Conventions</w:t>
      </w:r>
      <w:r>
        <w:rPr>
          <w:rFonts w:ascii="Times New Roman" w:hAnsi="Times New Roman"/>
          <w:sz w:val="24"/>
          <w:szCs w:val="24"/>
        </w:rPr>
        <w:t>.</w:t>
      </w:r>
      <w:r w:rsidRPr="00173CA9">
        <w:rPr>
          <w:rFonts w:ascii="Times New Roman" w:hAnsi="Times New Roman"/>
          <w:sz w:val="24"/>
          <w:szCs w:val="24"/>
        </w:rPr>
        <w:t xml:space="preserve"> </w:t>
      </w:r>
      <w:r w:rsidRPr="00537DCB">
        <w:rPr>
          <w:rFonts w:ascii="Times New Roman" w:hAnsi="Times New Roman"/>
          <w:sz w:val="24"/>
          <w:szCs w:val="24"/>
        </w:rPr>
        <w:t xml:space="preserve">A </w:t>
      </w:r>
      <w:r w:rsidRPr="00DF00E6">
        <w:rPr>
          <w:rFonts w:ascii="Times New Roman" w:hAnsi="Times New Roman"/>
          <w:sz w:val="24"/>
          <w:szCs w:val="24"/>
        </w:rPr>
        <w:t xml:space="preserve">l’expiration des termes pour lesquels </w:t>
      </w:r>
      <w:r>
        <w:rPr>
          <w:rFonts w:ascii="Times New Roman" w:hAnsi="Times New Roman"/>
          <w:sz w:val="24"/>
          <w:szCs w:val="24"/>
        </w:rPr>
        <w:t>ces Conventions</w:t>
      </w:r>
      <w:r w:rsidRPr="00DF00E6">
        <w:rPr>
          <w:rFonts w:ascii="Times New Roman" w:hAnsi="Times New Roman"/>
          <w:sz w:val="24"/>
          <w:szCs w:val="24"/>
        </w:rPr>
        <w:t xml:space="preserve"> </w:t>
      </w:r>
      <w:r>
        <w:rPr>
          <w:rFonts w:ascii="Times New Roman" w:hAnsi="Times New Roman"/>
          <w:sz w:val="24"/>
          <w:szCs w:val="24"/>
        </w:rPr>
        <w:t xml:space="preserve">et CPP </w:t>
      </w:r>
      <w:r w:rsidRPr="00DF00E6">
        <w:rPr>
          <w:rFonts w:ascii="Times New Roman" w:hAnsi="Times New Roman"/>
          <w:sz w:val="24"/>
          <w:szCs w:val="24"/>
        </w:rPr>
        <w:t>ont été conclus</w:t>
      </w:r>
      <w:r>
        <w:rPr>
          <w:rFonts w:ascii="Times New Roman" w:hAnsi="Times New Roman"/>
          <w:sz w:val="24"/>
          <w:szCs w:val="24"/>
        </w:rPr>
        <w:t xml:space="preserve">, les sociétés bénéficiaires des droits d’hydrocarbures sont régies par la Loi </w:t>
      </w:r>
      <w:r w:rsidRPr="00173CA9">
        <w:rPr>
          <w:rFonts w:ascii="Times New Roman" w:hAnsi="Times New Roman"/>
          <w:sz w:val="24"/>
          <w:szCs w:val="24"/>
        </w:rPr>
        <w:t>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Pr>
          <w:rFonts w:ascii="Times New Roman" w:hAnsi="Times New Roman"/>
          <w:sz w:val="24"/>
          <w:szCs w:val="24"/>
        </w:rPr>
        <w:t xml:space="preserve">, à la date de leur renouvellement.  Au regard du Code des Hydrocarbures, seules les </w:t>
      </w:r>
      <w:r w:rsidRPr="00173CA9">
        <w:rPr>
          <w:rFonts w:ascii="Times New Roman" w:hAnsi="Times New Roman"/>
          <w:sz w:val="24"/>
          <w:szCs w:val="24"/>
        </w:rPr>
        <w:t xml:space="preserve">dispositions relatives à la protection de l’environnement, à la sécurité et à l’hygiène </w:t>
      </w:r>
      <w:r>
        <w:rPr>
          <w:rFonts w:ascii="Times New Roman" w:hAnsi="Times New Roman"/>
          <w:sz w:val="24"/>
          <w:szCs w:val="24"/>
        </w:rPr>
        <w:t>sont d</w:t>
      </w:r>
      <w:r w:rsidRPr="00173CA9">
        <w:rPr>
          <w:rFonts w:ascii="Times New Roman" w:hAnsi="Times New Roman"/>
          <w:sz w:val="24"/>
          <w:szCs w:val="24"/>
        </w:rPr>
        <w:t>’appli</w:t>
      </w:r>
      <w:r>
        <w:rPr>
          <w:rFonts w:ascii="Times New Roman" w:hAnsi="Times New Roman"/>
          <w:sz w:val="24"/>
          <w:szCs w:val="24"/>
        </w:rPr>
        <w:t>cation</w:t>
      </w:r>
      <w:r w:rsidRPr="00173CA9">
        <w:rPr>
          <w:rFonts w:ascii="Times New Roman" w:hAnsi="Times New Roman"/>
          <w:sz w:val="24"/>
          <w:szCs w:val="24"/>
        </w:rPr>
        <w:t xml:space="preserve"> </w:t>
      </w:r>
      <w:r>
        <w:rPr>
          <w:rFonts w:ascii="Times New Roman" w:hAnsi="Times New Roman"/>
          <w:sz w:val="24"/>
          <w:szCs w:val="24"/>
        </w:rPr>
        <w:t>immédiate par</w:t>
      </w:r>
      <w:r w:rsidRPr="00173CA9">
        <w:rPr>
          <w:rFonts w:ascii="Times New Roman" w:hAnsi="Times New Roman"/>
          <w:sz w:val="24"/>
          <w:szCs w:val="24"/>
        </w:rPr>
        <w:t xml:space="preserve"> toutes les sociétés</w:t>
      </w:r>
      <w:r>
        <w:rPr>
          <w:rFonts w:ascii="Times New Roman" w:hAnsi="Times New Roman"/>
          <w:sz w:val="24"/>
          <w:szCs w:val="24"/>
        </w:rPr>
        <w:t xml:space="preserve"> du secteur</w:t>
      </w:r>
      <w:r w:rsidRPr="00173CA9">
        <w:rPr>
          <w:rFonts w:ascii="Times New Roman" w:hAnsi="Times New Roman"/>
          <w:sz w:val="24"/>
          <w:szCs w:val="24"/>
        </w:rPr>
        <w:t xml:space="preserve">, y compris les sociétés </w:t>
      </w:r>
      <w:r>
        <w:rPr>
          <w:rFonts w:ascii="Times New Roman" w:hAnsi="Times New Roman"/>
          <w:sz w:val="24"/>
          <w:szCs w:val="24"/>
        </w:rPr>
        <w:lastRenderedPageBreak/>
        <w:t>détentrices</w:t>
      </w:r>
      <w:r w:rsidRPr="00173CA9">
        <w:rPr>
          <w:rFonts w:ascii="Times New Roman" w:hAnsi="Times New Roman"/>
          <w:sz w:val="24"/>
          <w:szCs w:val="24"/>
        </w:rPr>
        <w:t xml:space="preserve"> des</w:t>
      </w:r>
      <w:r>
        <w:rPr>
          <w:rFonts w:ascii="Times New Roman" w:hAnsi="Times New Roman"/>
          <w:sz w:val="24"/>
          <w:szCs w:val="24"/>
        </w:rPr>
        <w:t xml:space="preserve"> </w:t>
      </w:r>
      <w:r w:rsidRPr="00BA5C74">
        <w:rPr>
          <w:rFonts w:ascii="Times New Roman" w:hAnsi="Times New Roman"/>
          <w:sz w:val="24"/>
          <w:szCs w:val="24"/>
        </w:rPr>
        <w:t>droits d'hydrocarbures régulièrement acquis avant l'entrée en vigueur</w:t>
      </w:r>
      <w:r>
        <w:rPr>
          <w:rFonts w:ascii="Times New Roman" w:hAnsi="Times New Roman"/>
          <w:sz w:val="24"/>
          <w:szCs w:val="24"/>
        </w:rPr>
        <w:t xml:space="preserve"> de la Loi </w:t>
      </w:r>
      <w:r w:rsidRPr="00173CA9">
        <w:rPr>
          <w:rFonts w:ascii="Times New Roman" w:hAnsi="Times New Roman"/>
          <w:sz w:val="24"/>
          <w:szCs w:val="24"/>
        </w:rPr>
        <w:t>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w:t>
      </w:r>
      <w:r>
        <w:rPr>
          <w:rFonts w:ascii="Times New Roman" w:hAnsi="Times New Roman"/>
          <w:sz w:val="24"/>
          <w:szCs w:val="24"/>
        </w:rPr>
        <w:t>.</w:t>
      </w:r>
    </w:p>
    <w:p w14:paraId="0AA3438D" w14:textId="77777777" w:rsidR="00207B98" w:rsidRDefault="00207B98" w:rsidP="002C5CE0">
      <w:pPr>
        <w:spacing w:before="240" w:line="240" w:lineRule="auto"/>
        <w:ind w:left="426" w:right="567"/>
        <w:jc w:val="both"/>
        <w:rPr>
          <w:rFonts w:ascii="Times New Roman" w:hAnsi="Times New Roman"/>
          <w:sz w:val="24"/>
          <w:szCs w:val="24"/>
        </w:rPr>
      </w:pPr>
      <w:r>
        <w:rPr>
          <w:rFonts w:ascii="Times New Roman" w:hAnsi="Times New Roman"/>
          <w:sz w:val="24"/>
          <w:szCs w:val="24"/>
        </w:rPr>
        <w:t xml:space="preserve">Dans la pratique cependant, l’association des entreprises composée des </w:t>
      </w:r>
      <w:r w:rsidRPr="00C146B2">
        <w:rPr>
          <w:rFonts w:ascii="Times New Roman" w:hAnsi="Times New Roman"/>
          <w:sz w:val="24"/>
          <w:szCs w:val="24"/>
        </w:rPr>
        <w:t>Groupe</w:t>
      </w:r>
      <w:r>
        <w:rPr>
          <w:rFonts w:ascii="Times New Roman" w:hAnsi="Times New Roman"/>
          <w:sz w:val="24"/>
          <w:szCs w:val="24"/>
        </w:rPr>
        <w:t xml:space="preserve">s PERENCO, </w:t>
      </w:r>
      <w:r w:rsidRPr="00F76452">
        <w:rPr>
          <w:rFonts w:ascii="Times New Roman" w:hAnsi="Times New Roman"/>
          <w:sz w:val="24"/>
          <w:szCs w:val="24"/>
        </w:rPr>
        <w:t>TE</w:t>
      </w:r>
      <w:r>
        <w:rPr>
          <w:rFonts w:ascii="Times New Roman" w:hAnsi="Times New Roman"/>
          <w:sz w:val="24"/>
          <w:szCs w:val="24"/>
        </w:rPr>
        <w:t>I</w:t>
      </w:r>
      <w:r w:rsidRPr="000A6C0E">
        <w:rPr>
          <w:rFonts w:ascii="Times New Roman" w:hAnsi="Times New Roman"/>
          <w:sz w:val="24"/>
          <w:szCs w:val="24"/>
        </w:rPr>
        <w:t>KOKU</w:t>
      </w:r>
      <w:r>
        <w:rPr>
          <w:rFonts w:ascii="Times New Roman" w:hAnsi="Times New Roman"/>
          <w:sz w:val="24"/>
          <w:szCs w:val="24"/>
        </w:rPr>
        <w:t xml:space="preserve"> et </w:t>
      </w:r>
      <w:r w:rsidRPr="000A6C0E">
        <w:rPr>
          <w:rFonts w:ascii="Times New Roman" w:hAnsi="Times New Roman"/>
          <w:sz w:val="24"/>
          <w:szCs w:val="24"/>
        </w:rPr>
        <w:t>CHEVRON</w:t>
      </w:r>
      <w:r>
        <w:rPr>
          <w:rFonts w:ascii="Times New Roman" w:hAnsi="Times New Roman"/>
          <w:sz w:val="24"/>
          <w:szCs w:val="24"/>
        </w:rPr>
        <w:t xml:space="preserve"> a obtenu de l’Etat congolais le deuxième renouvellement de sa Concession et de sa Convention du 9 août 1969 </w:t>
      </w:r>
      <w:r w:rsidRPr="00F912BF">
        <w:rPr>
          <w:rFonts w:ascii="Times New Roman" w:hAnsi="Times New Roman"/>
          <w:sz w:val="24"/>
          <w:szCs w:val="24"/>
        </w:rPr>
        <w:t>régissant l’exploration et l'exploitation des hydrocarbures dans la zone maritime de la République Démocratique du Congo</w:t>
      </w:r>
      <w:r>
        <w:rPr>
          <w:rFonts w:ascii="Times New Roman" w:hAnsi="Times New Roman"/>
          <w:sz w:val="24"/>
          <w:szCs w:val="24"/>
        </w:rPr>
        <w:t>.</w:t>
      </w:r>
      <w:r w:rsidRPr="006E0D1C">
        <w:rPr>
          <w:rFonts w:ascii="Times New Roman" w:hAnsi="Times New Roman"/>
          <w:sz w:val="24"/>
          <w:szCs w:val="24"/>
        </w:rPr>
        <w:t xml:space="preserve"> </w:t>
      </w:r>
      <w:r>
        <w:rPr>
          <w:rFonts w:ascii="Times New Roman" w:hAnsi="Times New Roman"/>
          <w:sz w:val="24"/>
          <w:szCs w:val="24"/>
        </w:rPr>
        <w:t>Ce renouvellement est consacré par l’</w:t>
      </w:r>
      <w:r w:rsidRPr="009171A8">
        <w:rPr>
          <w:rFonts w:ascii="Times New Roman" w:hAnsi="Times New Roman"/>
          <w:sz w:val="24"/>
          <w:szCs w:val="24"/>
        </w:rPr>
        <w:t xml:space="preserve">Avenant n°8 </w:t>
      </w:r>
      <w:r>
        <w:rPr>
          <w:rFonts w:ascii="Times New Roman" w:hAnsi="Times New Roman"/>
          <w:sz w:val="24"/>
          <w:szCs w:val="24"/>
        </w:rPr>
        <w:t>signé le 27 octobre 2017 et approuvé par une Ordonnance du Président de la République le 21 novembre 2017. C</w:t>
      </w:r>
      <w:r w:rsidRPr="000A6C0E">
        <w:rPr>
          <w:rFonts w:ascii="Times New Roman" w:hAnsi="Times New Roman"/>
          <w:sz w:val="24"/>
          <w:szCs w:val="24"/>
        </w:rPr>
        <w:t xml:space="preserve">e second renouvellement de la Concession </w:t>
      </w:r>
      <w:r>
        <w:rPr>
          <w:rFonts w:ascii="Times New Roman" w:hAnsi="Times New Roman"/>
          <w:sz w:val="24"/>
          <w:szCs w:val="24"/>
        </w:rPr>
        <w:t xml:space="preserve">est accordé </w:t>
      </w:r>
      <w:r w:rsidRPr="000A6C0E">
        <w:rPr>
          <w:rFonts w:ascii="Times New Roman" w:hAnsi="Times New Roman"/>
          <w:sz w:val="24"/>
          <w:szCs w:val="24"/>
        </w:rPr>
        <w:t xml:space="preserve">pour une période de 20 ans </w:t>
      </w:r>
      <w:r>
        <w:rPr>
          <w:rFonts w:ascii="Times New Roman" w:hAnsi="Times New Roman"/>
          <w:sz w:val="24"/>
          <w:szCs w:val="24"/>
        </w:rPr>
        <w:t>et</w:t>
      </w:r>
      <w:r w:rsidRPr="000A6C0E">
        <w:rPr>
          <w:rFonts w:ascii="Times New Roman" w:hAnsi="Times New Roman"/>
          <w:sz w:val="24"/>
          <w:szCs w:val="24"/>
        </w:rPr>
        <w:t xml:space="preserve"> </w:t>
      </w:r>
      <w:r w:rsidRPr="00E4669E">
        <w:rPr>
          <w:rFonts w:ascii="Times New Roman" w:hAnsi="Times New Roman"/>
          <w:sz w:val="24"/>
          <w:szCs w:val="24"/>
        </w:rPr>
        <w:t>prendra effet le 22 n</w:t>
      </w:r>
      <w:r w:rsidRPr="000A6C0E">
        <w:rPr>
          <w:rFonts w:ascii="Times New Roman" w:hAnsi="Times New Roman"/>
          <w:sz w:val="24"/>
          <w:szCs w:val="24"/>
        </w:rPr>
        <w:t>ovembre 2023</w:t>
      </w:r>
      <w:r>
        <w:rPr>
          <w:rFonts w:ascii="Times New Roman" w:hAnsi="Times New Roman"/>
          <w:sz w:val="24"/>
          <w:szCs w:val="24"/>
        </w:rPr>
        <w:t>,</w:t>
      </w:r>
      <w:r w:rsidRPr="000A6C0E">
        <w:rPr>
          <w:rFonts w:ascii="Times New Roman" w:hAnsi="Times New Roman"/>
          <w:sz w:val="24"/>
          <w:szCs w:val="24"/>
        </w:rPr>
        <w:t xml:space="preserve"> </w:t>
      </w:r>
      <w:r w:rsidRPr="009171A8">
        <w:rPr>
          <w:rFonts w:ascii="Times New Roman" w:hAnsi="Times New Roman"/>
          <w:sz w:val="24"/>
          <w:szCs w:val="24"/>
        </w:rPr>
        <w:t>proroge</w:t>
      </w:r>
      <w:r>
        <w:rPr>
          <w:rFonts w:ascii="Times New Roman" w:hAnsi="Times New Roman"/>
          <w:sz w:val="24"/>
          <w:szCs w:val="24"/>
        </w:rPr>
        <w:t xml:space="preserve">ant de ce fait </w:t>
      </w:r>
      <w:r w:rsidRPr="009171A8">
        <w:rPr>
          <w:rFonts w:ascii="Times New Roman" w:hAnsi="Times New Roman"/>
          <w:sz w:val="24"/>
          <w:szCs w:val="24"/>
        </w:rPr>
        <w:t>la durée de la Concession jusqu’au 21 novembre 2043</w:t>
      </w:r>
      <w:r>
        <w:rPr>
          <w:rFonts w:ascii="Times New Roman" w:hAnsi="Times New Roman"/>
          <w:sz w:val="24"/>
          <w:szCs w:val="24"/>
        </w:rPr>
        <w:t xml:space="preserve"> (d</w:t>
      </w:r>
      <w:r w:rsidRPr="000A6C0E">
        <w:rPr>
          <w:rFonts w:ascii="Times New Roman" w:hAnsi="Times New Roman"/>
          <w:sz w:val="24"/>
          <w:szCs w:val="24"/>
        </w:rPr>
        <w:t>ate d’</w:t>
      </w:r>
      <w:r>
        <w:rPr>
          <w:rFonts w:ascii="Times New Roman" w:hAnsi="Times New Roman"/>
          <w:sz w:val="24"/>
          <w:szCs w:val="24"/>
        </w:rPr>
        <w:t>e</w:t>
      </w:r>
      <w:r w:rsidRPr="000A6C0E">
        <w:rPr>
          <w:rFonts w:ascii="Times New Roman" w:hAnsi="Times New Roman"/>
          <w:sz w:val="24"/>
          <w:szCs w:val="24"/>
        </w:rPr>
        <w:t>xpiration</w:t>
      </w:r>
      <w:r>
        <w:rPr>
          <w:rFonts w:ascii="Times New Roman" w:hAnsi="Times New Roman"/>
          <w:sz w:val="24"/>
          <w:szCs w:val="24"/>
        </w:rPr>
        <w:t>)</w:t>
      </w:r>
      <w:r w:rsidRPr="00BB4A30">
        <w:rPr>
          <w:rFonts w:ascii="Times New Roman" w:hAnsi="Times New Roman"/>
          <w:sz w:val="24"/>
          <w:szCs w:val="24"/>
        </w:rPr>
        <w:t>. De même, la Convention</w:t>
      </w:r>
      <w:r>
        <w:rPr>
          <w:rFonts w:ascii="Times New Roman" w:hAnsi="Times New Roman"/>
          <w:sz w:val="24"/>
          <w:szCs w:val="24"/>
        </w:rPr>
        <w:t xml:space="preserve"> </w:t>
      </w:r>
      <w:r w:rsidRPr="00BB4A30">
        <w:rPr>
          <w:rFonts w:ascii="Times New Roman" w:hAnsi="Times New Roman"/>
          <w:sz w:val="24"/>
          <w:szCs w:val="24"/>
        </w:rPr>
        <w:t>est prorogée jusqu'à l'expiration de la Concession renouvelée</w:t>
      </w:r>
      <w:r>
        <w:rPr>
          <w:rFonts w:ascii="Times New Roman" w:hAnsi="Times New Roman"/>
          <w:sz w:val="24"/>
          <w:szCs w:val="24"/>
        </w:rPr>
        <w:t>.</w:t>
      </w:r>
    </w:p>
    <w:p w14:paraId="34633990" w14:textId="77777777" w:rsidR="00207B98" w:rsidRDefault="00207B98" w:rsidP="002C5CE0">
      <w:pPr>
        <w:spacing w:before="240" w:line="240" w:lineRule="auto"/>
        <w:ind w:left="426" w:right="567"/>
        <w:jc w:val="both"/>
        <w:rPr>
          <w:rFonts w:ascii="Times New Roman" w:hAnsi="Times New Roman"/>
          <w:sz w:val="24"/>
          <w:szCs w:val="24"/>
        </w:rPr>
      </w:pPr>
      <w:r>
        <w:rPr>
          <w:rFonts w:ascii="Times New Roman" w:hAnsi="Times New Roman"/>
          <w:sz w:val="24"/>
          <w:szCs w:val="24"/>
        </w:rPr>
        <w:t>Il importe de relever à ce sujet que ce deuxième renouvellement intervient six ans avant l’expiration du premier renouvellement et deux ans après l’entrée en vigueur du Code des Hydrocarbures et ce, nonobstant les dispositions impératives de l’article 189 du Code des Hydrocarbures ci-dessus reproduites.</w:t>
      </w:r>
    </w:p>
    <w:p w14:paraId="5DA40BC6" w14:textId="5CF72F4B" w:rsidR="00207B98"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L’avenant n°8 et l’Ordonnance d’approbation</w:t>
      </w:r>
      <w:r w:rsidR="00C54AF9">
        <w:rPr>
          <w:rStyle w:val="Appelnotedebasdep"/>
          <w:rFonts w:ascii="Times New Roman" w:hAnsi="Times New Roman"/>
          <w:sz w:val="24"/>
          <w:szCs w:val="24"/>
        </w:rPr>
        <w:footnoteReference w:id="7"/>
      </w:r>
      <w:r>
        <w:rPr>
          <w:rFonts w:ascii="Times New Roman" w:hAnsi="Times New Roman"/>
          <w:sz w:val="24"/>
          <w:szCs w:val="24"/>
        </w:rPr>
        <w:t xml:space="preserve"> sont postés sur le site de l’ITIE-RDC et peuvent être consultés sur </w:t>
      </w:r>
      <w:r w:rsidR="005B20D6">
        <w:rPr>
          <w:rFonts w:ascii="Times New Roman" w:hAnsi="Times New Roman"/>
          <w:sz w:val="24"/>
          <w:szCs w:val="24"/>
        </w:rPr>
        <w:t>le site de l’ITIE-RDC</w:t>
      </w:r>
      <w:r w:rsidR="005B20D6">
        <w:rPr>
          <w:rStyle w:val="Appelnotedebasdep"/>
          <w:rFonts w:ascii="Times New Roman" w:hAnsi="Times New Roman"/>
          <w:sz w:val="24"/>
          <w:szCs w:val="24"/>
        </w:rPr>
        <w:footnoteReference w:id="8"/>
      </w:r>
      <w:r>
        <w:rPr>
          <w:rFonts w:ascii="Times New Roman" w:hAnsi="Times New Roman"/>
          <w:sz w:val="24"/>
          <w:szCs w:val="24"/>
        </w:rPr>
        <w:t xml:space="preserve">. </w:t>
      </w:r>
      <w:r w:rsidRPr="009171A8">
        <w:rPr>
          <w:rFonts w:ascii="Times New Roman" w:hAnsi="Times New Roman"/>
          <w:sz w:val="24"/>
          <w:szCs w:val="24"/>
        </w:rPr>
        <w:t xml:space="preserve"> </w:t>
      </w:r>
    </w:p>
    <w:p w14:paraId="79648930" w14:textId="77777777" w:rsidR="00207B98" w:rsidRDefault="00207B98" w:rsidP="002C5CE0">
      <w:pPr>
        <w:spacing w:before="240" w:after="0" w:line="240" w:lineRule="auto"/>
        <w:ind w:left="426" w:right="567"/>
        <w:jc w:val="both"/>
        <w:rPr>
          <w:rFonts w:ascii="Times New Roman" w:hAnsi="Times New Roman"/>
          <w:sz w:val="24"/>
          <w:szCs w:val="24"/>
        </w:rPr>
      </w:pPr>
      <w:r>
        <w:rPr>
          <w:rFonts w:ascii="Times New Roman" w:hAnsi="Times New Roman"/>
          <w:sz w:val="24"/>
          <w:szCs w:val="24"/>
        </w:rPr>
        <w:t xml:space="preserve">Par ailleurs, une opinion soutient que la Cour Suprême de Justice aurait été consultée pour ce second renouvellement et aurait émis un avis favorable à cet effet. Le Secrétariat Technique soumettra au Comité Exécutif de l’ITIE-RDC un dossier de sollicitation de levée de copie dudit avis s’il en existe un et, dans la mesure du possible, le mettra à la disposition des parties prenantes ou, à défaut, l’analysera pour ces dernières.  </w:t>
      </w:r>
    </w:p>
    <w:p w14:paraId="20EFE39C" w14:textId="77777777" w:rsidR="00207B98" w:rsidRPr="00173CA9" w:rsidRDefault="00207B98" w:rsidP="002C5CE0">
      <w:pPr>
        <w:spacing w:after="0" w:line="240" w:lineRule="auto"/>
        <w:ind w:left="426" w:right="567"/>
        <w:jc w:val="both"/>
        <w:rPr>
          <w:rFonts w:ascii="Times New Roman" w:hAnsi="Times New Roman"/>
          <w:sz w:val="24"/>
          <w:szCs w:val="24"/>
        </w:rPr>
      </w:pPr>
    </w:p>
    <w:p w14:paraId="2DFBA42D" w14:textId="77777777" w:rsidR="00207B98" w:rsidRPr="00173CA9"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L</w:t>
      </w:r>
      <w:r w:rsidRPr="00173CA9">
        <w:rPr>
          <w:rFonts w:ascii="Times New Roman" w:hAnsi="Times New Roman"/>
          <w:sz w:val="24"/>
          <w:szCs w:val="24"/>
        </w:rPr>
        <w:t xml:space="preserve">e Code </w:t>
      </w:r>
      <w:r>
        <w:rPr>
          <w:rFonts w:ascii="Times New Roman" w:hAnsi="Times New Roman"/>
          <w:sz w:val="24"/>
          <w:szCs w:val="24"/>
        </w:rPr>
        <w:t xml:space="preserve">des Hydrocarbures </w:t>
      </w:r>
      <w:r w:rsidRPr="00173CA9">
        <w:rPr>
          <w:rFonts w:ascii="Times New Roman" w:hAnsi="Times New Roman"/>
          <w:sz w:val="24"/>
          <w:szCs w:val="24"/>
        </w:rPr>
        <w:t>catégorise les blocs en quatre zones fiscales (zones fiscales A, B, C et D) en raison notamment des caractéristiques géologiques et environnementales, et selon les modalités de catégorisation des blocs et des critères fixés par le Règlement d'hydrocarbures (Code d’Hydrocarbures, article 124 ; Règlement d’Hydrocarbures, articles 46, 256 et 257).</w:t>
      </w:r>
    </w:p>
    <w:p w14:paraId="29D61749" w14:textId="77777777" w:rsidR="00207B98" w:rsidRPr="00173CA9" w:rsidRDefault="00207B98" w:rsidP="002C5CE0">
      <w:pPr>
        <w:spacing w:after="0" w:line="240" w:lineRule="auto"/>
        <w:ind w:left="426" w:right="567"/>
        <w:jc w:val="both"/>
        <w:rPr>
          <w:rFonts w:ascii="Times New Roman" w:hAnsi="Times New Roman"/>
          <w:sz w:val="24"/>
          <w:szCs w:val="24"/>
        </w:rPr>
      </w:pPr>
    </w:p>
    <w:p w14:paraId="15480332" w14:textId="77777777" w:rsidR="00207B98" w:rsidRDefault="00207B98" w:rsidP="002C5CE0">
      <w:pPr>
        <w:spacing w:after="0" w:line="240" w:lineRule="auto"/>
        <w:ind w:left="426" w:right="567"/>
        <w:jc w:val="both"/>
        <w:rPr>
          <w:rFonts w:ascii="Times New Roman" w:hAnsi="Times New Roman"/>
          <w:sz w:val="24"/>
          <w:szCs w:val="24"/>
        </w:rPr>
      </w:pPr>
      <w:r>
        <w:rPr>
          <w:rFonts w:ascii="Times New Roman" w:hAnsi="Times New Roman"/>
          <w:sz w:val="24"/>
          <w:szCs w:val="24"/>
        </w:rPr>
        <w:t>En République Démocratique du Congo, les opérateurs du secteur des hydrocarbures  peuvent conclure deux types de contrats avec l’Etat congolais, soit le contrat de partage de production CPP soit le contrat de services.</w:t>
      </w:r>
    </w:p>
    <w:p w14:paraId="06AF4712" w14:textId="77777777" w:rsidR="00207B98" w:rsidRDefault="00207B98" w:rsidP="002C5CE0">
      <w:pPr>
        <w:spacing w:before="240" w:after="0" w:line="240" w:lineRule="auto"/>
        <w:ind w:left="426" w:right="567"/>
        <w:jc w:val="both"/>
        <w:rPr>
          <w:rFonts w:ascii="Times New Roman" w:hAnsi="Times New Roman"/>
          <w:sz w:val="24"/>
          <w:szCs w:val="24"/>
        </w:rPr>
      </w:pPr>
      <w:r w:rsidRPr="006B287C">
        <w:rPr>
          <w:rFonts w:ascii="Times New Roman" w:hAnsi="Times New Roman"/>
          <w:b/>
          <w:sz w:val="24"/>
          <w:szCs w:val="24"/>
        </w:rPr>
        <w:t>Le régime fiscal du contrat de services</w:t>
      </w:r>
      <w:r w:rsidRPr="00173CA9">
        <w:rPr>
          <w:rFonts w:ascii="Times New Roman" w:hAnsi="Times New Roman"/>
          <w:sz w:val="24"/>
          <w:szCs w:val="24"/>
        </w:rPr>
        <w:t xml:space="preserve"> est fixé dans le contrat. Le prestataire de services est rémunéré sans intérêts pour ses dépenses d'exploration et opérations d'exploitation, et avec intérêt pour l'investissement de développement (Code d</w:t>
      </w:r>
      <w:r>
        <w:rPr>
          <w:rFonts w:ascii="Times New Roman" w:hAnsi="Times New Roman"/>
          <w:sz w:val="24"/>
          <w:szCs w:val="24"/>
        </w:rPr>
        <w:t xml:space="preserve">es </w:t>
      </w:r>
      <w:r w:rsidRPr="00173CA9">
        <w:rPr>
          <w:rFonts w:ascii="Times New Roman" w:hAnsi="Times New Roman"/>
          <w:sz w:val="24"/>
          <w:szCs w:val="24"/>
        </w:rPr>
        <w:t>Hydrocarbures, article 139).</w:t>
      </w:r>
    </w:p>
    <w:p w14:paraId="0D462FF8" w14:textId="77777777" w:rsidR="00207B98" w:rsidRDefault="00207B98" w:rsidP="002C5CE0">
      <w:pPr>
        <w:spacing w:before="240" w:after="0" w:line="240" w:lineRule="auto"/>
        <w:ind w:left="426" w:right="567"/>
        <w:jc w:val="both"/>
        <w:rPr>
          <w:rFonts w:ascii="Times New Roman" w:hAnsi="Times New Roman"/>
          <w:sz w:val="24"/>
          <w:szCs w:val="24"/>
        </w:rPr>
      </w:pPr>
      <w:r>
        <w:rPr>
          <w:rFonts w:ascii="Times New Roman" w:hAnsi="Times New Roman"/>
          <w:sz w:val="24"/>
          <w:szCs w:val="24"/>
        </w:rPr>
        <w:t>Le</w:t>
      </w:r>
      <w:r w:rsidRPr="00173CA9">
        <w:rPr>
          <w:rFonts w:ascii="Times New Roman" w:hAnsi="Times New Roman"/>
          <w:sz w:val="24"/>
          <w:szCs w:val="24"/>
        </w:rPr>
        <w:t xml:space="preserve"> Code d</w:t>
      </w:r>
      <w:r>
        <w:rPr>
          <w:rFonts w:ascii="Times New Roman" w:hAnsi="Times New Roman"/>
          <w:sz w:val="24"/>
          <w:szCs w:val="24"/>
        </w:rPr>
        <w:t xml:space="preserve">es </w:t>
      </w:r>
      <w:r w:rsidRPr="00173CA9">
        <w:rPr>
          <w:rFonts w:ascii="Times New Roman" w:hAnsi="Times New Roman"/>
          <w:sz w:val="24"/>
          <w:szCs w:val="24"/>
        </w:rPr>
        <w:t>Hydrocarbures</w:t>
      </w:r>
      <w:r>
        <w:rPr>
          <w:rFonts w:ascii="Times New Roman" w:hAnsi="Times New Roman"/>
          <w:sz w:val="24"/>
          <w:szCs w:val="24"/>
        </w:rPr>
        <w:t xml:space="preserve"> prévoit </w:t>
      </w:r>
      <w:r w:rsidRPr="00A01173">
        <w:rPr>
          <w:rFonts w:ascii="Times New Roman" w:hAnsi="Times New Roman"/>
          <w:sz w:val="24"/>
          <w:szCs w:val="24"/>
        </w:rPr>
        <w:t xml:space="preserve">un </w:t>
      </w:r>
      <w:r>
        <w:rPr>
          <w:rFonts w:ascii="Times New Roman" w:hAnsi="Times New Roman"/>
          <w:sz w:val="24"/>
          <w:szCs w:val="24"/>
        </w:rPr>
        <w:t xml:space="preserve">seul </w:t>
      </w:r>
      <w:r w:rsidRPr="00A01173">
        <w:rPr>
          <w:rFonts w:ascii="Times New Roman" w:hAnsi="Times New Roman"/>
          <w:sz w:val="24"/>
          <w:szCs w:val="24"/>
        </w:rPr>
        <w:t>régime fiscal</w:t>
      </w:r>
      <w:r>
        <w:rPr>
          <w:rFonts w:ascii="Times New Roman" w:hAnsi="Times New Roman"/>
          <w:sz w:val="24"/>
          <w:szCs w:val="24"/>
        </w:rPr>
        <w:t>, douanier et de change</w:t>
      </w:r>
      <w:r w:rsidRPr="00A01173">
        <w:rPr>
          <w:rFonts w:ascii="Times New Roman" w:hAnsi="Times New Roman"/>
          <w:sz w:val="24"/>
          <w:szCs w:val="24"/>
        </w:rPr>
        <w:t xml:space="preserve"> applicable à tout contractant dans le secteur des hydrocarbures</w:t>
      </w:r>
      <w:r>
        <w:rPr>
          <w:rFonts w:ascii="Times New Roman" w:hAnsi="Times New Roman"/>
          <w:sz w:val="24"/>
          <w:szCs w:val="24"/>
        </w:rPr>
        <w:t>.</w:t>
      </w:r>
      <w:r w:rsidRPr="00A01173">
        <w:rPr>
          <w:rFonts w:ascii="Times New Roman" w:hAnsi="Times New Roman"/>
          <w:sz w:val="24"/>
          <w:szCs w:val="24"/>
        </w:rPr>
        <w:t> </w:t>
      </w:r>
    </w:p>
    <w:p w14:paraId="58AAF9EF" w14:textId="77777777" w:rsidR="00207B98" w:rsidRPr="00CB6297" w:rsidRDefault="00207B98" w:rsidP="002C5CE0">
      <w:pPr>
        <w:spacing w:before="240" w:line="240" w:lineRule="auto"/>
        <w:ind w:left="426" w:right="567"/>
        <w:jc w:val="both"/>
        <w:rPr>
          <w:rFonts w:ascii="Times New Roman" w:hAnsi="Times New Roman"/>
          <w:sz w:val="24"/>
          <w:szCs w:val="24"/>
        </w:rPr>
      </w:pPr>
      <w:r w:rsidRPr="00CB6297">
        <w:rPr>
          <w:rFonts w:ascii="Times New Roman" w:hAnsi="Times New Roman"/>
          <w:sz w:val="24"/>
          <w:szCs w:val="24"/>
        </w:rPr>
        <w:lastRenderedPageBreak/>
        <w:t xml:space="preserve">Selon ce régime, sauf exonérations accordées par la loi, de manière générale, le contractant est assujetti aux impôts, droits, taxes et redevances ci-après </w:t>
      </w:r>
      <w:r>
        <w:rPr>
          <w:rFonts w:ascii="Times New Roman" w:hAnsi="Times New Roman"/>
          <w:sz w:val="24"/>
          <w:szCs w:val="24"/>
        </w:rPr>
        <w:t xml:space="preserve">(Article 125 du Code des Hydrocarbures) </w:t>
      </w:r>
      <w:r w:rsidRPr="00CB6297">
        <w:rPr>
          <w:rFonts w:ascii="Times New Roman" w:hAnsi="Times New Roman"/>
          <w:sz w:val="24"/>
          <w:szCs w:val="24"/>
        </w:rPr>
        <w:t>:</w:t>
      </w:r>
    </w:p>
    <w:p w14:paraId="3243328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les royalties ;</w:t>
      </w:r>
    </w:p>
    <w:p w14:paraId="56F6EDD7"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part du profit oïl de l'Etat ;</w:t>
      </w:r>
    </w:p>
    <w:p w14:paraId="5A0F27C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part de l'excess oïl de l'Etat ;</w:t>
      </w:r>
    </w:p>
    <w:p w14:paraId="12769D05"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signature ;</w:t>
      </w:r>
    </w:p>
    <w:p w14:paraId="6B728F79"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droit d'exploration ;</w:t>
      </w:r>
    </w:p>
    <w:p w14:paraId="24F6F9D0"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renouvellement de droit d'exploration ; </w:t>
      </w:r>
    </w:p>
    <w:p w14:paraId="31DA66E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renouvellement de droit d'exploitation ;</w:t>
      </w:r>
    </w:p>
    <w:p w14:paraId="22AB34B7"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à l'avenant ;</w:t>
      </w:r>
    </w:p>
    <w:p w14:paraId="1D12272D"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bonus de la première production ;</w:t>
      </w:r>
    </w:p>
    <w:p w14:paraId="5C75A2E4"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redevance superficiaire ;</w:t>
      </w:r>
    </w:p>
    <w:p w14:paraId="27F6F1DA"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taxe statistique ;</w:t>
      </w:r>
    </w:p>
    <w:p w14:paraId="47A8F6AF"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le paiement d'un document administratif ;</w:t>
      </w:r>
    </w:p>
    <w:p w14:paraId="380C8425"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l'impôt exceptionnel sur la rémunération du personnel expatrié ;</w:t>
      </w:r>
    </w:p>
    <w:p w14:paraId="533660D9"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l'impôt professionnel sur les rémunérations des nationaux ;</w:t>
      </w:r>
    </w:p>
    <w:p w14:paraId="682E43C4"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rPr>
      </w:pPr>
      <w:r w:rsidRPr="002C5CE0">
        <w:rPr>
          <w:rFonts w:ascii="Times New Roman" w:hAnsi="Times New Roman"/>
          <w:sz w:val="24"/>
          <w:szCs w:val="24"/>
          <w:shd w:val="clear" w:color="auto" w:fill="FFFFFF"/>
        </w:rPr>
        <w:t>la taxe sur la valeur ajoutée à l'intérieur sur la consommation locale en phase d'exploitation ;</w:t>
      </w:r>
    </w:p>
    <w:p w14:paraId="51EA955C" w14:textId="77777777" w:rsidR="00207B98" w:rsidRPr="002C5CE0" w:rsidRDefault="00207B98" w:rsidP="000738D3">
      <w:pPr>
        <w:numPr>
          <w:ilvl w:val="0"/>
          <w:numId w:val="18"/>
        </w:numPr>
        <w:spacing w:after="0" w:line="240" w:lineRule="auto"/>
        <w:ind w:left="1560" w:right="567" w:hanging="567"/>
        <w:jc w:val="both"/>
        <w:rPr>
          <w:rFonts w:ascii="Times New Roman" w:hAnsi="Times New Roman"/>
          <w:sz w:val="24"/>
          <w:szCs w:val="24"/>
          <w:shd w:val="clear" w:color="auto" w:fill="FFFFFF"/>
        </w:rPr>
      </w:pPr>
      <w:r w:rsidRPr="002C5CE0">
        <w:rPr>
          <w:rFonts w:ascii="Times New Roman" w:hAnsi="Times New Roman"/>
          <w:sz w:val="24"/>
          <w:szCs w:val="24"/>
          <w:shd w:val="clear" w:color="auto" w:fill="FFFFFF"/>
        </w:rPr>
        <w:t>la taxe sur toute forme de cession de droits ou d'intérêts en phases d'exploration et d'exploitation.</w:t>
      </w:r>
    </w:p>
    <w:p w14:paraId="2F70DE7D" w14:textId="77777777" w:rsidR="00207B98" w:rsidRPr="00840E13" w:rsidRDefault="00207B98" w:rsidP="00207B98">
      <w:pPr>
        <w:spacing w:after="0" w:line="240" w:lineRule="auto"/>
        <w:ind w:left="1418" w:right="567"/>
        <w:jc w:val="both"/>
        <w:rPr>
          <w:rFonts w:ascii="Times New Roman" w:hAnsi="Times New Roman"/>
          <w:sz w:val="8"/>
          <w:szCs w:val="8"/>
        </w:rPr>
      </w:pPr>
    </w:p>
    <w:p w14:paraId="181422C0" w14:textId="77777777" w:rsidR="00207B98" w:rsidRDefault="00207B98" w:rsidP="002C5CE0">
      <w:pPr>
        <w:spacing w:after="0" w:line="240" w:lineRule="auto"/>
        <w:ind w:left="426" w:right="567"/>
        <w:jc w:val="both"/>
        <w:rPr>
          <w:rFonts w:ascii="Times New Roman" w:hAnsi="Times New Roman"/>
          <w:sz w:val="24"/>
          <w:szCs w:val="24"/>
        </w:rPr>
      </w:pPr>
      <w:r w:rsidRPr="005844A5">
        <w:rPr>
          <w:rFonts w:ascii="Times New Roman" w:hAnsi="Times New Roman"/>
          <w:b/>
          <w:sz w:val="24"/>
          <w:szCs w:val="24"/>
        </w:rPr>
        <w:t>Le contractant est soumis au régime douanier de droit commun</w:t>
      </w:r>
      <w:r w:rsidRPr="00173CA9">
        <w:rPr>
          <w:rFonts w:ascii="Times New Roman" w:hAnsi="Times New Roman"/>
          <w:sz w:val="24"/>
          <w:szCs w:val="24"/>
        </w:rPr>
        <w:t>, à l’exception (i) des opérations d'importation et d'exportation des biens spécifiquement destinés aux opérations pétrolières et (ii)  des opérations d'exportation d'hydrocarbures bruts qui bénéficient du régime de la franchise totale des droits et taxes (Code d’Hydrocarbures, articles 140 à 150).</w:t>
      </w:r>
    </w:p>
    <w:p w14:paraId="5785E236" w14:textId="77777777" w:rsidR="00207B98" w:rsidRDefault="00207B98" w:rsidP="002C5CE0">
      <w:pPr>
        <w:autoSpaceDE w:val="0"/>
        <w:autoSpaceDN w:val="0"/>
        <w:adjustRightInd w:val="0"/>
        <w:spacing w:before="240" w:after="0" w:line="240" w:lineRule="auto"/>
        <w:ind w:left="426" w:right="535"/>
        <w:jc w:val="both"/>
        <w:rPr>
          <w:rFonts w:ascii="Times New Roman" w:hAnsi="Times New Roman"/>
          <w:sz w:val="24"/>
          <w:szCs w:val="24"/>
        </w:rPr>
      </w:pPr>
      <w:r w:rsidRPr="005844A5">
        <w:rPr>
          <w:rFonts w:ascii="Times New Roman" w:hAnsi="Times New Roman"/>
          <w:b/>
          <w:sz w:val="24"/>
          <w:szCs w:val="24"/>
        </w:rPr>
        <w:t>Le régime de change</w:t>
      </w:r>
      <w:r>
        <w:rPr>
          <w:rStyle w:val="Appelnotedebasdep"/>
          <w:rFonts w:ascii="Times New Roman" w:hAnsi="Times New Roman"/>
          <w:b/>
          <w:sz w:val="24"/>
          <w:szCs w:val="24"/>
        </w:rPr>
        <w:footnoteReference w:id="9"/>
      </w:r>
      <w:r w:rsidRPr="005844A5">
        <w:rPr>
          <w:rFonts w:ascii="Times New Roman" w:hAnsi="Times New Roman"/>
          <w:sz w:val="24"/>
          <w:szCs w:val="24"/>
        </w:rPr>
        <w:t xml:space="preserve"> particulier applicable au contractant dans le secteur des hydrocarbures est déterminé par la Banque Centrale du Congo (Article 151 du Code des Hydrocarbures, et aussi la Réglementation du change</w:t>
      </w:r>
      <w:r w:rsidRPr="00B4555C">
        <w:rPr>
          <w:rFonts w:ascii="Times New Roman" w:hAnsi="Times New Roman"/>
          <w:sz w:val="24"/>
          <w:szCs w:val="24"/>
        </w:rPr>
        <w:t xml:space="preserve"> en République Démocratique du Congo à consulter sur ce</w:t>
      </w:r>
      <w:r>
        <w:rPr>
          <w:rFonts w:ascii="Times New Roman" w:hAnsi="Times New Roman"/>
          <w:sz w:val="24"/>
          <w:szCs w:val="24"/>
        </w:rPr>
        <w:t xml:space="preserve"> </w:t>
      </w:r>
      <w:hyperlink r:id="rId19" w:history="1">
        <w:r w:rsidRPr="00F7725B">
          <w:rPr>
            <w:rStyle w:val="Lienhypertexte"/>
            <w:rFonts w:ascii="Times New Roman" w:hAnsi="Times New Roman"/>
            <w:b/>
            <w:sz w:val="24"/>
            <w:szCs w:val="24"/>
          </w:rPr>
          <w:t>lien</w:t>
        </w:r>
      </w:hyperlink>
      <w:r>
        <w:rPr>
          <w:rFonts w:ascii="Times New Roman" w:hAnsi="Times New Roman"/>
          <w:sz w:val="24"/>
          <w:szCs w:val="24"/>
        </w:rPr>
        <w:t xml:space="preserve">. </w:t>
      </w:r>
    </w:p>
    <w:p w14:paraId="46440FE0" w14:textId="77777777" w:rsidR="00207B98" w:rsidRPr="00173CA9" w:rsidRDefault="00207B98" w:rsidP="002C5CE0">
      <w:pPr>
        <w:spacing w:after="0" w:line="240" w:lineRule="auto"/>
        <w:ind w:left="426" w:right="567"/>
        <w:jc w:val="both"/>
        <w:rPr>
          <w:rFonts w:ascii="Times New Roman" w:hAnsi="Times New Roman"/>
          <w:sz w:val="24"/>
          <w:szCs w:val="24"/>
        </w:rPr>
      </w:pPr>
    </w:p>
    <w:p w14:paraId="3C21F18C" w14:textId="77777777" w:rsidR="00207B98" w:rsidRDefault="00207B98" w:rsidP="003A6A80">
      <w:pPr>
        <w:spacing w:after="0" w:line="276" w:lineRule="auto"/>
        <w:ind w:left="426" w:right="567"/>
        <w:jc w:val="both"/>
        <w:rPr>
          <w:rFonts w:ascii="Times New Roman" w:hAnsi="Times New Roman"/>
          <w:sz w:val="24"/>
          <w:szCs w:val="24"/>
        </w:rPr>
      </w:pPr>
      <w:r w:rsidRPr="005844A5">
        <w:rPr>
          <w:rFonts w:ascii="Times New Roman" w:hAnsi="Times New Roman"/>
          <w:b/>
          <w:sz w:val="24"/>
          <w:szCs w:val="24"/>
        </w:rPr>
        <w:t>Les Contrats de partage de production (CPP)</w:t>
      </w:r>
      <w:r w:rsidRPr="00173CA9">
        <w:rPr>
          <w:rFonts w:ascii="Times New Roman" w:hAnsi="Times New Roman"/>
          <w:sz w:val="24"/>
          <w:szCs w:val="24"/>
        </w:rPr>
        <w:t xml:space="preserve"> prévoient le partage de production d’hydrocarbures entre l’Etat, la Société et/ou l’association composée des contractants ainsi que d’autres entités qui pourront les rejoindre. Les CPP prévoient également la possibilité de paiement en nature. Nonobstant leur assujettissement aux </w:t>
      </w:r>
      <w:r w:rsidRPr="00173CA9">
        <w:rPr>
          <w:rFonts w:ascii="Times New Roman" w:hAnsi="Times New Roman"/>
          <w:color w:val="383838"/>
          <w:sz w:val="24"/>
          <w:szCs w:val="24"/>
          <w:shd w:val="clear" w:color="auto" w:fill="FFFFFF"/>
        </w:rPr>
        <w:t xml:space="preserve">impôts, droits, taxes et redevances repris ci-haut (Article 125 du Code des Hydrocarbures), le régime fiscal </w:t>
      </w:r>
      <w:r w:rsidRPr="00173CA9">
        <w:rPr>
          <w:rFonts w:ascii="Times New Roman" w:hAnsi="Times New Roman"/>
          <w:sz w:val="24"/>
          <w:szCs w:val="24"/>
        </w:rPr>
        <w:t>des CPP est constitué : (i) des bonus (Article 127), (ii) des royalties, de la redevance superficaire et des taxes (Articles 127 à 129), ainsi que (iii) du cost oïl et de l'excess oïl (Articles 130 à 138).</w:t>
      </w:r>
    </w:p>
    <w:p w14:paraId="7D3C5448" w14:textId="77777777" w:rsidR="00207B98" w:rsidRPr="00173CA9" w:rsidRDefault="00207B98" w:rsidP="00207B98">
      <w:pPr>
        <w:spacing w:after="0" w:line="240" w:lineRule="auto"/>
        <w:ind w:left="1418" w:right="567"/>
        <w:jc w:val="both"/>
        <w:rPr>
          <w:rFonts w:ascii="Times New Roman" w:hAnsi="Times New Roman"/>
          <w:sz w:val="24"/>
          <w:szCs w:val="24"/>
        </w:rPr>
      </w:pPr>
    </w:p>
    <w:p w14:paraId="0E7A58DA" w14:textId="77777777" w:rsidR="00207B98" w:rsidRPr="002C5CE0" w:rsidRDefault="00207B98" w:rsidP="003A6A80">
      <w:pPr>
        <w:spacing w:after="0" w:line="276" w:lineRule="auto"/>
        <w:ind w:left="426" w:right="567"/>
        <w:jc w:val="both"/>
        <w:rPr>
          <w:rFonts w:ascii="Times New Roman" w:hAnsi="Times New Roman"/>
          <w:sz w:val="24"/>
          <w:szCs w:val="24"/>
        </w:rPr>
      </w:pPr>
      <w:r w:rsidRPr="002C5CE0">
        <w:rPr>
          <w:rFonts w:ascii="Times New Roman" w:hAnsi="Times New Roman"/>
          <w:b/>
          <w:sz w:val="24"/>
          <w:szCs w:val="24"/>
        </w:rPr>
        <w:t>De manière spécifique</w:t>
      </w:r>
      <w:r w:rsidRPr="002C5CE0">
        <w:rPr>
          <w:rFonts w:ascii="Times New Roman" w:hAnsi="Times New Roman"/>
          <w:sz w:val="24"/>
          <w:szCs w:val="24"/>
        </w:rPr>
        <w:t xml:space="preserve"> et en vertu de l’exception tirée de l’article 189 du Code des Hydrocarbures, les droits acquis découlant de l’article 189 de la Loi n°15/012 sont principalement ceux que certaines entreprises détiennent en vertu de la Convention du 11 août 1969 concernant l'exploitation sur la terre ferme (on-shore) régissant l'association PERENCO REP et LIREX, et que d’autres entreprises conservent de la Convention du 9 </w:t>
      </w:r>
      <w:r w:rsidRPr="002C5CE0">
        <w:rPr>
          <w:rFonts w:ascii="Times New Roman" w:hAnsi="Times New Roman"/>
          <w:sz w:val="24"/>
          <w:szCs w:val="24"/>
        </w:rPr>
        <w:lastRenderedPageBreak/>
        <w:t xml:space="preserve">août 1969 s’agissant de l'exploitation en mer (offshore) qui régit l’association MIOC, TEIKOKU et CHEVRON-ODS. </w:t>
      </w:r>
    </w:p>
    <w:p w14:paraId="06AF5F11" w14:textId="77777777" w:rsidR="00207B98" w:rsidRPr="002C5CE0" w:rsidRDefault="00207B98" w:rsidP="002C5CE0">
      <w:pPr>
        <w:spacing w:after="0" w:line="240" w:lineRule="auto"/>
        <w:ind w:left="426" w:right="567"/>
        <w:jc w:val="both"/>
        <w:rPr>
          <w:rFonts w:ascii="Times New Roman" w:hAnsi="Times New Roman"/>
          <w:sz w:val="24"/>
          <w:szCs w:val="24"/>
        </w:rPr>
      </w:pPr>
    </w:p>
    <w:p w14:paraId="10DEC7AD" w14:textId="77777777" w:rsidR="00207B98" w:rsidRPr="002C5CE0" w:rsidRDefault="00207B98" w:rsidP="002C5CE0">
      <w:pPr>
        <w:spacing w:after="0" w:line="240" w:lineRule="auto"/>
        <w:ind w:left="426" w:right="567"/>
        <w:jc w:val="both"/>
        <w:rPr>
          <w:rFonts w:ascii="Times New Roman" w:hAnsi="Times New Roman"/>
          <w:sz w:val="24"/>
          <w:szCs w:val="24"/>
        </w:rPr>
      </w:pPr>
      <w:r w:rsidRPr="002C5CE0">
        <w:rPr>
          <w:rFonts w:ascii="Times New Roman" w:hAnsi="Times New Roman"/>
          <w:sz w:val="24"/>
          <w:szCs w:val="24"/>
        </w:rPr>
        <w:t>A cet effet, en application de la Convention du 11 août 1969, les sociétés pétrolières versent à l'Etat les royalties, un dividende et l’impôt sur le bénéfice et profit, tandis que la Convention du 9 août 1969 oblige les sociétés pétrolières à payer à l'Etat la taxe statistique, la marge distribuable, la taxe de participation et l'impôt professionnel sur les bénéfices.</w:t>
      </w:r>
    </w:p>
    <w:p w14:paraId="4D9EE9AD" w14:textId="77777777" w:rsidR="00207B98" w:rsidRPr="00840E13" w:rsidRDefault="00207B98" w:rsidP="00207B98">
      <w:pPr>
        <w:spacing w:after="0" w:line="240" w:lineRule="auto"/>
        <w:ind w:left="1418" w:right="567"/>
        <w:jc w:val="both"/>
      </w:pPr>
    </w:p>
    <w:p w14:paraId="647763AB" w14:textId="77777777" w:rsidR="00207B98" w:rsidRPr="00840E13" w:rsidRDefault="00207B98" w:rsidP="003A6A80">
      <w:pPr>
        <w:pStyle w:val="Titre3"/>
        <w:spacing w:before="240"/>
        <w:ind w:left="426"/>
        <w:rPr>
          <w:rFonts w:ascii="Times New Roman" w:hAnsi="Times New Roman" w:cs="Times New Roman"/>
          <w:sz w:val="24"/>
          <w:szCs w:val="24"/>
        </w:rPr>
      </w:pPr>
      <w:bookmarkStart w:id="44" w:name="_Toc515792930"/>
      <w:bookmarkStart w:id="45" w:name="_Toc515793169"/>
      <w:bookmarkStart w:id="46" w:name="_Toc515589770"/>
      <w:bookmarkStart w:id="47" w:name="_Toc515792931"/>
      <w:bookmarkStart w:id="48" w:name="_Toc515793170"/>
      <w:bookmarkStart w:id="49" w:name="_Toc518135485"/>
      <w:bookmarkStart w:id="50" w:name="_Toc518468056"/>
      <w:bookmarkEnd w:id="44"/>
      <w:bookmarkEnd w:id="45"/>
      <w:r>
        <w:rPr>
          <w:rFonts w:ascii="Times New Roman" w:hAnsi="Times New Roman" w:cs="Times New Roman"/>
          <w:sz w:val="24"/>
          <w:szCs w:val="24"/>
        </w:rPr>
        <w:t xml:space="preserve">I.1.3. </w:t>
      </w:r>
      <w:r w:rsidRPr="00840E13">
        <w:rPr>
          <w:rFonts w:ascii="Times New Roman" w:hAnsi="Times New Roman" w:cs="Times New Roman"/>
          <w:sz w:val="24"/>
          <w:szCs w:val="24"/>
        </w:rPr>
        <w:t>Niveau de décentralisation fiscale</w:t>
      </w:r>
      <w:bookmarkEnd w:id="46"/>
      <w:bookmarkEnd w:id="47"/>
      <w:bookmarkEnd w:id="48"/>
      <w:r w:rsidRPr="00840E13">
        <w:rPr>
          <w:rFonts w:ascii="Times New Roman" w:hAnsi="Times New Roman" w:cs="Times New Roman"/>
          <w:sz w:val="24"/>
          <w:szCs w:val="24"/>
        </w:rPr>
        <w:t xml:space="preserve"> du secteur pétrolier</w:t>
      </w:r>
      <w:bookmarkEnd w:id="49"/>
      <w:bookmarkEnd w:id="50"/>
    </w:p>
    <w:p w14:paraId="53377E72" w14:textId="77777777" w:rsidR="00207B98" w:rsidRPr="003A6A80" w:rsidRDefault="00207B98" w:rsidP="003A6A80">
      <w:pPr>
        <w:spacing w:after="0" w:line="276" w:lineRule="auto"/>
        <w:ind w:left="426" w:right="567"/>
        <w:jc w:val="both"/>
        <w:rPr>
          <w:rFonts w:ascii="Times New Roman" w:hAnsi="Times New Roman"/>
          <w:sz w:val="24"/>
          <w:szCs w:val="24"/>
        </w:rPr>
      </w:pPr>
      <w:r w:rsidRPr="003A6A80">
        <w:rPr>
          <w:rFonts w:ascii="Times New Roman" w:hAnsi="Times New Roman"/>
          <w:sz w:val="24"/>
          <w:szCs w:val="24"/>
        </w:rPr>
        <w:t>Hormis l’impôt sur les Concessions Minières et d’Hydrocarbures (ICMH) revenant aux provinces, tous les autres paiements au titre d’impôt, droit ou taxe</w:t>
      </w:r>
      <w:r w:rsidRPr="003A6A80" w:rsidDel="00B51D12">
        <w:rPr>
          <w:rFonts w:ascii="Times New Roman" w:hAnsi="Times New Roman"/>
          <w:sz w:val="24"/>
          <w:szCs w:val="24"/>
        </w:rPr>
        <w:t xml:space="preserve"> </w:t>
      </w:r>
      <w:r w:rsidRPr="003A6A80">
        <w:rPr>
          <w:rFonts w:ascii="Times New Roman" w:hAnsi="Times New Roman"/>
          <w:sz w:val="24"/>
          <w:szCs w:val="24"/>
        </w:rPr>
        <w:t>prévus par la loi n°15/012 du 1</w:t>
      </w:r>
      <w:r w:rsidRPr="003A6A80">
        <w:rPr>
          <w:rFonts w:ascii="Times New Roman" w:hAnsi="Times New Roman"/>
          <w:sz w:val="24"/>
          <w:szCs w:val="24"/>
          <w:vertAlign w:val="superscript"/>
        </w:rPr>
        <w:t>er</w:t>
      </w:r>
      <w:r w:rsidRPr="003A6A80">
        <w:rPr>
          <w:rFonts w:ascii="Times New Roman" w:hAnsi="Times New Roman"/>
          <w:sz w:val="24"/>
          <w:szCs w:val="24"/>
        </w:rPr>
        <w:t xml:space="preserve"> août 2015 reviennent au Gouvernement central (</w:t>
      </w:r>
      <w:hyperlink r:id="rId20" w:history="1">
        <w:r w:rsidRPr="003A6A80">
          <w:rPr>
            <w:rStyle w:val="Lienhypertexte"/>
            <w:rFonts w:ascii="Times New Roman" w:hAnsi="Times New Roman"/>
            <w:sz w:val="24"/>
            <w:szCs w:val="24"/>
          </w:rPr>
          <w:t>Ord. Loi n°13/001 du 23/02/2013</w:t>
        </w:r>
      </w:hyperlink>
      <w:r w:rsidRPr="003A6A80">
        <w:rPr>
          <w:rFonts w:ascii="Times New Roman" w:hAnsi="Times New Roman"/>
          <w:color w:val="0070C0"/>
          <w:sz w:val="24"/>
          <w:szCs w:val="24"/>
        </w:rPr>
        <w:t xml:space="preserve"> </w:t>
      </w:r>
      <w:r w:rsidRPr="003A6A80">
        <w:rPr>
          <w:rFonts w:ascii="Times New Roman" w:hAnsi="Times New Roman"/>
          <w:sz w:val="24"/>
          <w:szCs w:val="24"/>
        </w:rPr>
        <w:t>fixant la nomenclature des impôts, droits, taxes et redevances des provinces et des entités territoriales décentralisées ainsi que leurs modalités de répartition)</w:t>
      </w:r>
      <w:r w:rsidRPr="003A6A80">
        <w:rPr>
          <w:rStyle w:val="Appelnotedebasdep"/>
          <w:rFonts w:ascii="Times New Roman" w:hAnsi="Times New Roman"/>
          <w:sz w:val="24"/>
          <w:szCs w:val="24"/>
        </w:rPr>
        <w:footnoteReference w:id="10"/>
      </w:r>
      <w:r w:rsidRPr="003A6A80">
        <w:rPr>
          <w:rFonts w:ascii="Times New Roman" w:hAnsi="Times New Roman"/>
          <w:sz w:val="24"/>
          <w:szCs w:val="24"/>
        </w:rPr>
        <w:t xml:space="preserve">. </w:t>
      </w:r>
    </w:p>
    <w:p w14:paraId="12FAC7C3" w14:textId="77777777" w:rsidR="00207B98" w:rsidRPr="003A6A80" w:rsidRDefault="00207B98" w:rsidP="003A6A80">
      <w:pPr>
        <w:spacing w:after="0" w:line="240" w:lineRule="auto"/>
        <w:ind w:left="426" w:right="567"/>
        <w:jc w:val="both"/>
        <w:rPr>
          <w:rFonts w:ascii="Times New Roman" w:hAnsi="Times New Roman"/>
          <w:sz w:val="24"/>
          <w:szCs w:val="24"/>
        </w:rPr>
      </w:pPr>
      <w:r w:rsidRPr="003A6A80">
        <w:rPr>
          <w:rFonts w:ascii="Times New Roman" w:hAnsi="Times New Roman"/>
          <w:sz w:val="24"/>
          <w:szCs w:val="24"/>
        </w:rPr>
        <w:t xml:space="preserve"> </w:t>
      </w:r>
    </w:p>
    <w:p w14:paraId="39CE5058" w14:textId="77777777" w:rsidR="003A6A80" w:rsidRDefault="00207B98" w:rsidP="003A6A80">
      <w:pPr>
        <w:spacing w:after="0" w:line="276" w:lineRule="auto"/>
        <w:ind w:left="426" w:right="567"/>
        <w:jc w:val="both"/>
        <w:rPr>
          <w:rFonts w:ascii="Times New Roman" w:hAnsi="Times New Roman"/>
          <w:i/>
          <w:sz w:val="24"/>
          <w:szCs w:val="24"/>
        </w:rPr>
      </w:pPr>
      <w:r w:rsidRPr="003A6A80">
        <w:rPr>
          <w:rFonts w:ascii="Times New Roman" w:hAnsi="Times New Roman"/>
          <w:sz w:val="24"/>
          <w:szCs w:val="24"/>
        </w:rPr>
        <w:t xml:space="preserve">De même, la </w:t>
      </w:r>
      <w:r w:rsidRPr="003A6A80">
        <w:rPr>
          <w:rFonts w:ascii="Times New Roman" w:hAnsi="Times New Roman"/>
          <w:b/>
          <w:i/>
          <w:sz w:val="24"/>
          <w:szCs w:val="24"/>
        </w:rPr>
        <w:t>Loi n°1/011 du 13 juillet 2011 relative aux Finances Publiques</w:t>
      </w:r>
      <w:r w:rsidRPr="003A6A80">
        <w:rPr>
          <w:rFonts w:ascii="Times New Roman" w:hAnsi="Times New Roman"/>
          <w:sz w:val="24"/>
          <w:szCs w:val="24"/>
        </w:rPr>
        <w:t xml:space="preserve"> (la </w:t>
      </w:r>
      <w:hyperlink r:id="rId21" w:history="1">
        <w:r w:rsidRPr="003A6A80">
          <w:rPr>
            <w:rStyle w:val="Lienhypertexte"/>
            <w:rFonts w:ascii="Times New Roman" w:hAnsi="Times New Roman"/>
            <w:sz w:val="24"/>
            <w:szCs w:val="24"/>
          </w:rPr>
          <w:t>LOFIP</w:t>
        </w:r>
      </w:hyperlink>
      <w:r w:rsidRPr="003A6A80">
        <w:rPr>
          <w:rFonts w:ascii="Times New Roman" w:hAnsi="Times New Roman"/>
          <w:sz w:val="24"/>
          <w:szCs w:val="24"/>
        </w:rPr>
        <w:t>)</w:t>
      </w:r>
      <w:r w:rsidRPr="003A6A80">
        <w:rPr>
          <w:rStyle w:val="Appelnotedebasdep"/>
          <w:rFonts w:ascii="Times New Roman" w:hAnsi="Times New Roman"/>
          <w:sz w:val="24"/>
          <w:szCs w:val="24"/>
        </w:rPr>
        <w:footnoteReference w:id="11"/>
      </w:r>
      <w:r w:rsidRPr="003A6A80">
        <w:rPr>
          <w:rFonts w:ascii="Times New Roman" w:hAnsi="Times New Roman"/>
          <w:sz w:val="24"/>
          <w:szCs w:val="24"/>
        </w:rPr>
        <w:t xml:space="preserve"> prévoit en son article 221 une allocation à la province productrice de 10% de la part des recettes de la catégorie B revenant aux provinces. En effet, cet article est ainsi libellé : </w:t>
      </w:r>
      <w:r w:rsidRPr="003A6A80">
        <w:rPr>
          <w:rFonts w:ascii="Times New Roman" w:hAnsi="Times New Roman"/>
          <w:i/>
          <w:sz w:val="24"/>
          <w:szCs w:val="24"/>
        </w:rPr>
        <w:t>« Sans préjudice des dispositions de l’article 218 de la présente loi, la retenue de 40% sur les recettes de la catégorie B s’effectue, au profit des provinces, suivant leur capacité contributive et leur poids démographique au regard des modalités déterminées, conformément à un arrêté conjoint des ministres du pouvoir central ayant les finances et le budget dans leurs attributions respectives ».</w:t>
      </w:r>
      <w:r w:rsidRPr="00173CA9">
        <w:rPr>
          <w:rFonts w:ascii="Times New Roman" w:hAnsi="Times New Roman"/>
          <w:i/>
          <w:sz w:val="24"/>
          <w:szCs w:val="24"/>
        </w:rPr>
        <w:t xml:space="preserve"> </w:t>
      </w:r>
    </w:p>
    <w:p w14:paraId="3AED04E7" w14:textId="77777777" w:rsidR="00207B98" w:rsidRPr="00173CA9" w:rsidRDefault="00207B98" w:rsidP="003A6A80">
      <w:pPr>
        <w:spacing w:after="0" w:line="240" w:lineRule="auto"/>
        <w:ind w:left="426" w:right="567"/>
        <w:jc w:val="both"/>
        <w:rPr>
          <w:rFonts w:ascii="Times New Roman" w:hAnsi="Times New Roman"/>
          <w:i/>
          <w:sz w:val="24"/>
          <w:szCs w:val="24"/>
        </w:rPr>
      </w:pPr>
      <w:r w:rsidRPr="00173CA9">
        <w:rPr>
          <w:rFonts w:ascii="Times New Roman" w:hAnsi="Times New Roman"/>
          <w:b/>
          <w:i/>
          <w:sz w:val="24"/>
          <w:szCs w:val="24"/>
        </w:rPr>
        <w:t>S’agissant des recettes pétrolières inclues dans la catégorie B, une allocation de 10% de la part revenant aux provinces est attribuée à la province productrice à titre compensatoire pour réparer notamment les dommages d’environnement résultant de l’extraction</w:t>
      </w:r>
      <w:r w:rsidRPr="00173CA9">
        <w:rPr>
          <w:rFonts w:ascii="Times New Roman" w:hAnsi="Times New Roman"/>
          <w:i/>
          <w:sz w:val="24"/>
          <w:szCs w:val="24"/>
        </w:rPr>
        <w:t> ».</w:t>
      </w:r>
    </w:p>
    <w:p w14:paraId="31E1EFF4" w14:textId="77777777" w:rsidR="00207B98" w:rsidRPr="00173CA9" w:rsidRDefault="00207B98" w:rsidP="003A6A80">
      <w:pPr>
        <w:spacing w:after="0" w:line="240" w:lineRule="auto"/>
        <w:ind w:left="426" w:right="567"/>
        <w:jc w:val="both"/>
        <w:rPr>
          <w:rFonts w:ascii="Times New Roman" w:hAnsi="Times New Roman"/>
          <w:sz w:val="24"/>
          <w:szCs w:val="24"/>
        </w:rPr>
      </w:pPr>
    </w:p>
    <w:p w14:paraId="43BF3BE8" w14:textId="77777777" w:rsidR="00207B98" w:rsidRPr="00173CA9" w:rsidRDefault="00207B98" w:rsidP="003A6A80">
      <w:pPr>
        <w:spacing w:after="0" w:line="240" w:lineRule="auto"/>
        <w:ind w:left="426" w:right="567"/>
        <w:jc w:val="both"/>
        <w:rPr>
          <w:rFonts w:ascii="Times New Roman" w:hAnsi="Times New Roman"/>
          <w:sz w:val="24"/>
          <w:szCs w:val="24"/>
        </w:rPr>
      </w:pPr>
      <w:r w:rsidRPr="00173CA9">
        <w:rPr>
          <w:rFonts w:ascii="Times New Roman" w:hAnsi="Times New Roman"/>
          <w:sz w:val="24"/>
          <w:szCs w:val="24"/>
        </w:rPr>
        <w:t xml:space="preserve">A ce jour, les 10% ci-dessus prévus </w:t>
      </w:r>
      <w:r>
        <w:rPr>
          <w:rFonts w:ascii="Times New Roman" w:hAnsi="Times New Roman"/>
          <w:sz w:val="24"/>
          <w:szCs w:val="24"/>
        </w:rPr>
        <w:t xml:space="preserve">ne </w:t>
      </w:r>
      <w:r w:rsidRPr="00173CA9">
        <w:rPr>
          <w:rFonts w:ascii="Times New Roman" w:hAnsi="Times New Roman"/>
          <w:sz w:val="24"/>
          <w:szCs w:val="24"/>
        </w:rPr>
        <w:t xml:space="preserve">sont </w:t>
      </w:r>
      <w:r>
        <w:rPr>
          <w:rFonts w:ascii="Times New Roman" w:hAnsi="Times New Roman"/>
          <w:sz w:val="24"/>
          <w:szCs w:val="24"/>
        </w:rPr>
        <w:t xml:space="preserve">pas </w:t>
      </w:r>
      <w:r w:rsidRPr="00173CA9">
        <w:rPr>
          <w:rFonts w:ascii="Times New Roman" w:hAnsi="Times New Roman"/>
          <w:sz w:val="24"/>
          <w:szCs w:val="24"/>
        </w:rPr>
        <w:t>remis à la province productrice, faute d’arrêté interministériel pris à cet effet.</w:t>
      </w:r>
    </w:p>
    <w:p w14:paraId="1A6A0C13" w14:textId="77777777" w:rsidR="00207B98" w:rsidRPr="00173CA9" w:rsidRDefault="00207B98" w:rsidP="003A6A80">
      <w:pPr>
        <w:spacing w:after="0" w:line="240" w:lineRule="auto"/>
        <w:ind w:left="426" w:right="567"/>
        <w:jc w:val="both"/>
        <w:rPr>
          <w:rFonts w:ascii="Times New Roman" w:hAnsi="Times New Roman"/>
          <w:sz w:val="24"/>
          <w:szCs w:val="24"/>
        </w:rPr>
      </w:pPr>
    </w:p>
    <w:p w14:paraId="715DF1BE" w14:textId="77777777" w:rsidR="00207B98" w:rsidRDefault="00207B98" w:rsidP="003A6A80">
      <w:pPr>
        <w:autoSpaceDE w:val="0"/>
        <w:autoSpaceDN w:val="0"/>
        <w:adjustRightInd w:val="0"/>
        <w:spacing w:after="0" w:line="276" w:lineRule="auto"/>
        <w:ind w:left="426" w:right="535"/>
        <w:jc w:val="both"/>
        <w:rPr>
          <w:rFonts w:ascii="Times New Roman" w:hAnsi="Times New Roman"/>
          <w:sz w:val="24"/>
          <w:szCs w:val="24"/>
        </w:rPr>
      </w:pPr>
      <w:r w:rsidRPr="00173CA9">
        <w:rPr>
          <w:rFonts w:ascii="Times New Roman" w:hAnsi="Times New Roman"/>
          <w:sz w:val="24"/>
          <w:szCs w:val="24"/>
        </w:rPr>
        <w:t xml:space="preserve">Par ailleurs, en application de l’article 181 de la Constitution, les provinces devraient bénéficier des ressources provenant de la </w:t>
      </w:r>
      <w:r w:rsidRPr="00173CA9">
        <w:rPr>
          <w:rFonts w:ascii="Times New Roman" w:hAnsi="Times New Roman"/>
          <w:b/>
          <w:i/>
          <w:sz w:val="24"/>
          <w:szCs w:val="24"/>
        </w:rPr>
        <w:t>Caisse nationale de péréquation</w:t>
      </w:r>
      <w:r w:rsidRPr="00173CA9">
        <w:rPr>
          <w:rFonts w:ascii="Times New Roman" w:hAnsi="Times New Roman"/>
          <w:sz w:val="24"/>
          <w:szCs w:val="24"/>
        </w:rPr>
        <w:t xml:space="preserve"> dont le budget est alimenté à concurrence de 10% de la totalité des recettes de catégorie A et B telle que définies à l’article 219 de la LOFIP. Mais, une fois de plus, des modalités pratiques ne sont pas encore prises au niveau du Pouvoir central pour matérialiser les prescrits de la Constitution à ce sujet. </w:t>
      </w:r>
      <w:r>
        <w:rPr>
          <w:rFonts w:ascii="Times New Roman" w:hAnsi="Times New Roman"/>
          <w:sz w:val="24"/>
          <w:szCs w:val="24"/>
        </w:rPr>
        <w:t xml:space="preserve">Certes, une loi organique a été promulguée en 2016, c’est la </w:t>
      </w:r>
      <w:r w:rsidRPr="003F56AB">
        <w:rPr>
          <w:rFonts w:ascii="Times New Roman" w:hAnsi="Times New Roman"/>
          <w:sz w:val="24"/>
          <w:szCs w:val="24"/>
        </w:rPr>
        <w:t>L</w:t>
      </w:r>
      <w:r w:rsidRPr="00654AB7">
        <w:rPr>
          <w:rFonts w:ascii="Times New Roman" w:hAnsi="Times New Roman"/>
          <w:sz w:val="24"/>
          <w:szCs w:val="24"/>
        </w:rPr>
        <w:t>oi organique n°</w:t>
      </w:r>
      <w:r w:rsidRPr="003F56AB">
        <w:rPr>
          <w:rFonts w:ascii="Times New Roman" w:hAnsi="Times New Roman"/>
          <w:sz w:val="24"/>
          <w:szCs w:val="24"/>
        </w:rPr>
        <w:t xml:space="preserve">16/028 </w:t>
      </w:r>
      <w:r w:rsidRPr="007C125D">
        <w:rPr>
          <w:rFonts w:ascii="Times New Roman" w:hAnsi="Times New Roman"/>
          <w:sz w:val="24"/>
          <w:szCs w:val="24"/>
        </w:rPr>
        <w:t>du 08 novembre 2016</w:t>
      </w:r>
      <w:r>
        <w:rPr>
          <w:rFonts w:ascii="Times New Roman" w:hAnsi="Times New Roman"/>
          <w:sz w:val="24"/>
          <w:szCs w:val="24"/>
        </w:rPr>
        <w:t xml:space="preserve"> </w:t>
      </w:r>
      <w:r w:rsidRPr="003F56AB">
        <w:rPr>
          <w:rFonts w:ascii="Times New Roman" w:hAnsi="Times New Roman"/>
          <w:sz w:val="24"/>
          <w:szCs w:val="24"/>
        </w:rPr>
        <w:t>portant organisation et fonctionnement de la Caisse nationale de péréquation</w:t>
      </w:r>
      <w:r>
        <w:rPr>
          <w:rFonts w:ascii="Times New Roman" w:hAnsi="Times New Roman"/>
          <w:sz w:val="24"/>
          <w:szCs w:val="24"/>
        </w:rPr>
        <w:t xml:space="preserve"> que l’on peut télécharger sur le site du Journal Officiel</w:t>
      </w:r>
      <w:r>
        <w:rPr>
          <w:rStyle w:val="Appelnotedebasdep"/>
          <w:rFonts w:ascii="Times New Roman" w:hAnsi="Times New Roman"/>
          <w:sz w:val="24"/>
          <w:szCs w:val="24"/>
        </w:rPr>
        <w:footnoteReference w:id="12"/>
      </w:r>
      <w:r>
        <w:rPr>
          <w:rFonts w:ascii="Times New Roman" w:hAnsi="Times New Roman"/>
          <w:sz w:val="24"/>
          <w:szCs w:val="24"/>
        </w:rPr>
        <w:t xml:space="preserve"> au lien </w:t>
      </w:r>
      <w:hyperlink r:id="rId22" w:history="1">
        <w:r w:rsidRPr="001C3CE1">
          <w:rPr>
            <w:rStyle w:val="Lienhypertexte"/>
            <w:rFonts w:ascii="Times New Roman" w:hAnsi="Times New Roman"/>
            <w:b/>
            <w:sz w:val="24"/>
            <w:szCs w:val="24"/>
          </w:rPr>
          <w:t>suivant</w:t>
        </w:r>
      </w:hyperlink>
      <w:r>
        <w:rPr>
          <w:rFonts w:ascii="Times New Roman" w:hAnsi="Times New Roman"/>
          <w:sz w:val="24"/>
          <w:szCs w:val="24"/>
        </w:rPr>
        <w:t xml:space="preserve">. </w:t>
      </w:r>
    </w:p>
    <w:p w14:paraId="3C0FF2BF" w14:textId="77777777" w:rsidR="00207B98" w:rsidRPr="001371A7" w:rsidRDefault="00207B98" w:rsidP="003A6A80">
      <w:pPr>
        <w:autoSpaceDE w:val="0"/>
        <w:autoSpaceDN w:val="0"/>
        <w:adjustRightInd w:val="0"/>
        <w:spacing w:after="0" w:line="276" w:lineRule="auto"/>
        <w:ind w:left="426" w:right="535"/>
        <w:jc w:val="both"/>
        <w:rPr>
          <w:rFonts w:ascii="Times New Roman" w:hAnsi="Times New Roman"/>
          <w:sz w:val="24"/>
          <w:szCs w:val="24"/>
        </w:rPr>
      </w:pPr>
      <w:r>
        <w:rPr>
          <w:rFonts w:ascii="Times New Roman" w:hAnsi="Times New Roman"/>
          <w:sz w:val="24"/>
          <w:szCs w:val="24"/>
        </w:rPr>
        <w:lastRenderedPageBreak/>
        <w:t xml:space="preserve">Cependant, le décret du Premier Ministre créant ledit organisme </w:t>
      </w:r>
      <w:r w:rsidRPr="003F56AB">
        <w:rPr>
          <w:rFonts w:ascii="Times New Roman" w:hAnsi="Times New Roman"/>
          <w:sz w:val="24"/>
          <w:szCs w:val="24"/>
        </w:rPr>
        <w:t xml:space="preserve">de droit public </w:t>
      </w:r>
      <w:r>
        <w:rPr>
          <w:rFonts w:ascii="Times New Roman" w:hAnsi="Times New Roman"/>
          <w:sz w:val="24"/>
          <w:szCs w:val="24"/>
        </w:rPr>
        <w:t xml:space="preserve">placé sous la tutelle du Gouvernement n’est pas encore pris. </w:t>
      </w:r>
    </w:p>
    <w:p w14:paraId="4AE05271" w14:textId="77777777" w:rsidR="00207B98" w:rsidRPr="00173CA9" w:rsidRDefault="00207B98" w:rsidP="003A6A80">
      <w:pPr>
        <w:spacing w:after="0" w:line="276" w:lineRule="auto"/>
        <w:ind w:left="426" w:right="567"/>
        <w:jc w:val="both"/>
        <w:rPr>
          <w:rFonts w:ascii="Times New Roman" w:hAnsi="Times New Roman"/>
          <w:sz w:val="24"/>
          <w:szCs w:val="24"/>
        </w:rPr>
      </w:pPr>
    </w:p>
    <w:p w14:paraId="1AC796B7" w14:textId="77777777" w:rsidR="00207B98" w:rsidRDefault="00207B98" w:rsidP="003A6A80">
      <w:pPr>
        <w:spacing w:after="0" w:line="276" w:lineRule="auto"/>
        <w:ind w:left="426" w:right="567"/>
        <w:jc w:val="both"/>
        <w:rPr>
          <w:rFonts w:ascii="Times New Roman" w:hAnsi="Times New Roman"/>
          <w:i/>
          <w:sz w:val="24"/>
          <w:szCs w:val="24"/>
        </w:rPr>
      </w:pPr>
      <w:r w:rsidRPr="00173CA9">
        <w:rPr>
          <w:rFonts w:ascii="Times New Roman" w:hAnsi="Times New Roman"/>
          <w:sz w:val="24"/>
          <w:szCs w:val="24"/>
        </w:rPr>
        <w:t>Enfin, l’</w:t>
      </w:r>
      <w:r w:rsidRPr="00173CA9">
        <w:rPr>
          <w:rFonts w:ascii="Times New Roman" w:hAnsi="Times New Roman"/>
          <w:b/>
          <w:i/>
          <w:sz w:val="24"/>
          <w:szCs w:val="24"/>
        </w:rPr>
        <w:t xml:space="preserve">Ordonnance-loi n°13/001 du 23 février 2013 </w:t>
      </w:r>
      <w:r w:rsidRPr="00173CA9">
        <w:rPr>
          <w:rFonts w:ascii="Times New Roman" w:hAnsi="Times New Roman"/>
          <w:sz w:val="24"/>
          <w:szCs w:val="24"/>
        </w:rPr>
        <w:t xml:space="preserve">fixant la nomenclature des impôts, droits, taxes et redevances des Provinces et des Entités Territoriales Décentralisées ainsi que leurs modalités de répartition liste, dans son </w:t>
      </w:r>
      <w:r w:rsidRPr="00173CA9">
        <w:rPr>
          <w:rFonts w:ascii="Times New Roman" w:hAnsi="Times New Roman"/>
          <w:b/>
          <w:i/>
          <w:sz w:val="24"/>
          <w:szCs w:val="24"/>
        </w:rPr>
        <w:t>annexe</w:t>
      </w:r>
      <w:r w:rsidRPr="00173CA9">
        <w:rPr>
          <w:rFonts w:ascii="Times New Roman" w:hAnsi="Times New Roman"/>
          <w:i/>
          <w:sz w:val="24"/>
          <w:szCs w:val="24"/>
        </w:rPr>
        <w:t>, les flux encadrés par les provinces en application de la décentralisation fiscale.</w:t>
      </w:r>
    </w:p>
    <w:p w14:paraId="75ED9FE7" w14:textId="77777777" w:rsidR="00207B98" w:rsidRPr="00840E13" w:rsidRDefault="00207B98" w:rsidP="00207B98">
      <w:pPr>
        <w:spacing w:after="0" w:line="240" w:lineRule="auto"/>
        <w:ind w:left="1418" w:right="567"/>
        <w:jc w:val="both"/>
        <w:rPr>
          <w:rFonts w:ascii="Times New Roman" w:hAnsi="Times New Roman"/>
          <w:sz w:val="10"/>
          <w:szCs w:val="10"/>
        </w:rPr>
      </w:pPr>
    </w:p>
    <w:p w14:paraId="381C4E50" w14:textId="77777777" w:rsidR="00207B98" w:rsidRPr="006443D7" w:rsidRDefault="00207B98" w:rsidP="006443D7">
      <w:pPr>
        <w:pStyle w:val="Titre3"/>
        <w:spacing w:before="240"/>
        <w:ind w:left="426"/>
        <w:rPr>
          <w:rFonts w:ascii="Times New Roman" w:hAnsi="Times New Roman" w:cs="Times New Roman"/>
          <w:sz w:val="24"/>
          <w:szCs w:val="24"/>
        </w:rPr>
      </w:pPr>
      <w:bookmarkStart w:id="51" w:name="_Toc515792932"/>
      <w:bookmarkStart w:id="52" w:name="_Toc515793171"/>
      <w:bookmarkStart w:id="53" w:name="_Toc515792933"/>
      <w:bookmarkStart w:id="54" w:name="_Toc515793172"/>
      <w:bookmarkStart w:id="55" w:name="_Toc515589771"/>
      <w:bookmarkStart w:id="56" w:name="_Toc515792934"/>
      <w:bookmarkStart w:id="57" w:name="_Toc515793173"/>
      <w:bookmarkStart w:id="58" w:name="_Toc518135486"/>
      <w:bookmarkStart w:id="59" w:name="_Toc518468057"/>
      <w:bookmarkEnd w:id="51"/>
      <w:bookmarkEnd w:id="52"/>
      <w:bookmarkEnd w:id="53"/>
      <w:bookmarkEnd w:id="54"/>
      <w:r w:rsidRPr="006443D7">
        <w:rPr>
          <w:rFonts w:ascii="Times New Roman" w:hAnsi="Times New Roman" w:cs="Times New Roman"/>
          <w:sz w:val="24"/>
          <w:szCs w:val="24"/>
        </w:rPr>
        <w:t>I.1.4. Rôles et responsabilités des entités de régulation</w:t>
      </w:r>
      <w:bookmarkEnd w:id="55"/>
      <w:bookmarkEnd w:id="56"/>
      <w:bookmarkEnd w:id="57"/>
      <w:r w:rsidRPr="006443D7">
        <w:rPr>
          <w:rFonts w:ascii="Times New Roman" w:hAnsi="Times New Roman" w:cs="Times New Roman"/>
          <w:sz w:val="24"/>
          <w:szCs w:val="24"/>
        </w:rPr>
        <w:t xml:space="preserve"> du secteur pétrolier</w:t>
      </w:r>
      <w:bookmarkEnd w:id="58"/>
      <w:bookmarkEnd w:id="59"/>
      <w:r w:rsidRPr="006443D7">
        <w:rPr>
          <w:rFonts w:ascii="Times New Roman" w:hAnsi="Times New Roman" w:cs="Times New Roman"/>
          <w:sz w:val="24"/>
          <w:szCs w:val="24"/>
        </w:rPr>
        <w:t xml:space="preserve"> </w:t>
      </w:r>
    </w:p>
    <w:p w14:paraId="30F53465" w14:textId="77777777" w:rsidR="00207B98" w:rsidRPr="00173CA9" w:rsidRDefault="00207B98" w:rsidP="000738D3">
      <w:pPr>
        <w:pStyle w:val="Paragraphedeliste"/>
        <w:numPr>
          <w:ilvl w:val="2"/>
          <w:numId w:val="16"/>
        </w:numPr>
        <w:tabs>
          <w:tab w:val="left" w:pos="1134"/>
        </w:tabs>
        <w:spacing w:after="0" w:line="240" w:lineRule="auto"/>
        <w:ind w:left="0" w:right="567" w:firstLine="426"/>
        <w:jc w:val="both"/>
        <w:rPr>
          <w:rFonts w:ascii="Times New Roman" w:hAnsi="Times New Roman" w:cs="Times New Roman"/>
          <w:sz w:val="24"/>
          <w:szCs w:val="24"/>
          <w:u w:val="single"/>
        </w:rPr>
      </w:pPr>
      <w:r w:rsidRPr="00173CA9">
        <w:rPr>
          <w:rFonts w:ascii="Times New Roman" w:hAnsi="Times New Roman" w:cs="Times New Roman"/>
          <w:b/>
          <w:sz w:val="24"/>
          <w:szCs w:val="24"/>
          <w:u w:val="single"/>
        </w:rPr>
        <w:t>Le Minist</w:t>
      </w:r>
      <w:r>
        <w:rPr>
          <w:rFonts w:ascii="Times New Roman" w:hAnsi="Times New Roman" w:cs="Times New Roman"/>
          <w:b/>
          <w:sz w:val="24"/>
          <w:szCs w:val="24"/>
          <w:u w:val="single"/>
        </w:rPr>
        <w:t>re</w:t>
      </w:r>
      <w:r w:rsidRPr="00173CA9">
        <w:rPr>
          <w:rFonts w:ascii="Times New Roman" w:hAnsi="Times New Roman" w:cs="Times New Roman"/>
          <w:b/>
          <w:sz w:val="24"/>
          <w:szCs w:val="24"/>
          <w:u w:val="single"/>
        </w:rPr>
        <w:t xml:space="preserve"> des Hydrocarbures </w:t>
      </w:r>
      <w:r>
        <w:rPr>
          <w:rFonts w:ascii="Times New Roman" w:hAnsi="Times New Roman" w:cs="Times New Roman"/>
          <w:b/>
          <w:sz w:val="24"/>
          <w:szCs w:val="24"/>
          <w:u w:val="single"/>
        </w:rPr>
        <w:t xml:space="preserve"> </w:t>
      </w:r>
    </w:p>
    <w:p w14:paraId="49E7DEA8" w14:textId="77777777" w:rsidR="00207B98" w:rsidRPr="00173CA9" w:rsidRDefault="00207B98" w:rsidP="00207B98">
      <w:pPr>
        <w:spacing w:after="0" w:line="240" w:lineRule="auto"/>
        <w:ind w:right="567"/>
        <w:rPr>
          <w:rFonts w:ascii="Times New Roman" w:hAnsi="Times New Roman"/>
          <w:sz w:val="24"/>
          <w:szCs w:val="24"/>
        </w:rPr>
      </w:pPr>
    </w:p>
    <w:p w14:paraId="5F55B64F" w14:textId="77777777" w:rsidR="00207B98" w:rsidRPr="00173CA9" w:rsidRDefault="00207B98" w:rsidP="006443D7">
      <w:pPr>
        <w:spacing w:after="0" w:line="240" w:lineRule="auto"/>
        <w:ind w:left="426" w:right="567"/>
        <w:rPr>
          <w:rFonts w:ascii="Times New Roman" w:hAnsi="Times New Roman"/>
          <w:sz w:val="24"/>
          <w:szCs w:val="24"/>
        </w:rPr>
      </w:pPr>
      <w:r>
        <w:rPr>
          <w:rFonts w:ascii="Times New Roman" w:hAnsi="Times New Roman"/>
          <w:sz w:val="24"/>
          <w:szCs w:val="24"/>
        </w:rPr>
        <w:t xml:space="preserve">Le Ministre applique la </w:t>
      </w:r>
      <w:r w:rsidRPr="00173CA9">
        <w:rPr>
          <w:rFonts w:ascii="Times New Roman" w:hAnsi="Times New Roman"/>
          <w:sz w:val="24"/>
          <w:szCs w:val="24"/>
        </w:rPr>
        <w:t xml:space="preserve">politique </w:t>
      </w:r>
      <w:r>
        <w:rPr>
          <w:rFonts w:ascii="Times New Roman" w:hAnsi="Times New Roman"/>
          <w:sz w:val="24"/>
          <w:szCs w:val="24"/>
        </w:rPr>
        <w:t xml:space="preserve">nationale des </w:t>
      </w:r>
      <w:r w:rsidRPr="00173CA9">
        <w:rPr>
          <w:rFonts w:ascii="Times New Roman" w:hAnsi="Times New Roman"/>
          <w:sz w:val="24"/>
          <w:szCs w:val="24"/>
        </w:rPr>
        <w:t>Hydrocarbures</w:t>
      </w:r>
      <w:r>
        <w:rPr>
          <w:rFonts w:ascii="Times New Roman" w:hAnsi="Times New Roman"/>
          <w:sz w:val="24"/>
          <w:szCs w:val="24"/>
        </w:rPr>
        <w:t>, telle que définie par le</w:t>
      </w:r>
      <w:r w:rsidRPr="00173CA9">
        <w:rPr>
          <w:rFonts w:ascii="Times New Roman" w:hAnsi="Times New Roman"/>
          <w:sz w:val="24"/>
          <w:szCs w:val="24"/>
        </w:rPr>
        <w:t xml:space="preserve"> Gouvernement</w:t>
      </w:r>
      <w:r>
        <w:rPr>
          <w:rFonts w:ascii="Times New Roman" w:hAnsi="Times New Roman"/>
          <w:sz w:val="24"/>
          <w:szCs w:val="24"/>
        </w:rPr>
        <w:t>.</w:t>
      </w:r>
      <w:r w:rsidRPr="00173CA9">
        <w:rPr>
          <w:rFonts w:ascii="Times New Roman" w:hAnsi="Times New Roman"/>
          <w:sz w:val="24"/>
          <w:szCs w:val="24"/>
        </w:rPr>
        <w:t xml:space="preserve"> </w:t>
      </w:r>
      <w:r>
        <w:rPr>
          <w:rFonts w:ascii="Times New Roman" w:hAnsi="Times New Roman"/>
          <w:sz w:val="24"/>
          <w:szCs w:val="24"/>
        </w:rPr>
        <w:t xml:space="preserve"> </w:t>
      </w:r>
    </w:p>
    <w:p w14:paraId="763FE863" w14:textId="77777777" w:rsidR="00207B98" w:rsidRPr="00173CA9" w:rsidRDefault="00207B98" w:rsidP="006443D7">
      <w:pPr>
        <w:spacing w:after="0" w:line="240" w:lineRule="auto"/>
        <w:ind w:left="426" w:right="567"/>
        <w:jc w:val="both"/>
        <w:rPr>
          <w:rFonts w:ascii="Times New Roman" w:hAnsi="Times New Roman"/>
          <w:sz w:val="24"/>
          <w:szCs w:val="24"/>
        </w:rPr>
      </w:pPr>
    </w:p>
    <w:p w14:paraId="0CC30931" w14:textId="77777777" w:rsidR="00207B98" w:rsidRPr="00173CA9" w:rsidRDefault="00207B98" w:rsidP="006443D7">
      <w:pPr>
        <w:spacing w:line="240" w:lineRule="auto"/>
        <w:ind w:left="426" w:right="567"/>
        <w:jc w:val="both"/>
        <w:rPr>
          <w:rFonts w:ascii="Times New Roman" w:hAnsi="Times New Roman"/>
          <w:sz w:val="24"/>
          <w:szCs w:val="24"/>
        </w:rPr>
      </w:pPr>
      <w:r>
        <w:rPr>
          <w:rFonts w:ascii="Times New Roman" w:hAnsi="Times New Roman"/>
          <w:sz w:val="24"/>
          <w:szCs w:val="24"/>
        </w:rPr>
        <w:t xml:space="preserve">A ce titre, en application du </w:t>
      </w:r>
      <w:r w:rsidRPr="00583052">
        <w:rPr>
          <w:rFonts w:ascii="Times New Roman" w:hAnsi="Times New Roman"/>
          <w:b/>
          <w:sz w:val="24"/>
          <w:szCs w:val="24"/>
        </w:rPr>
        <w:t>Règlement d’Hydrocarbures</w:t>
      </w:r>
      <w:r>
        <w:rPr>
          <w:rFonts w:ascii="Times New Roman" w:hAnsi="Times New Roman"/>
          <w:b/>
          <w:sz w:val="24"/>
          <w:szCs w:val="24"/>
        </w:rPr>
        <w:t xml:space="preserve"> </w:t>
      </w:r>
      <w:r w:rsidRPr="00B509CA">
        <w:rPr>
          <w:rFonts w:ascii="Times New Roman" w:hAnsi="Times New Roman"/>
          <w:sz w:val="24"/>
          <w:szCs w:val="24"/>
        </w:rPr>
        <w:t>(articles 13 et 14)</w:t>
      </w:r>
      <w:r>
        <w:rPr>
          <w:rFonts w:ascii="Times New Roman" w:hAnsi="Times New Roman"/>
          <w:sz w:val="24"/>
          <w:szCs w:val="24"/>
        </w:rPr>
        <w:t xml:space="preserve">, et sans préjudice de </w:t>
      </w:r>
      <w:r w:rsidRPr="00583052">
        <w:rPr>
          <w:rFonts w:ascii="Times New Roman" w:hAnsi="Times New Roman"/>
          <w:sz w:val="24"/>
          <w:szCs w:val="24"/>
        </w:rPr>
        <w:t>l’</w:t>
      </w:r>
      <w:hyperlink r:id="rId23" w:history="1">
        <w:r w:rsidRPr="00C55DB8">
          <w:rPr>
            <w:rStyle w:val="Lienhypertexte"/>
            <w:rFonts w:ascii="Times New Roman" w:hAnsi="Times New Roman"/>
            <w:i/>
            <w:sz w:val="24"/>
            <w:szCs w:val="24"/>
          </w:rPr>
          <w:t>Ordonnance n° 08/074 du 24 décembre 2008</w:t>
        </w:r>
      </w:hyperlink>
      <w:r w:rsidRPr="00173CA9">
        <w:rPr>
          <w:rFonts w:ascii="Times New Roman" w:hAnsi="Times New Roman"/>
          <w:sz w:val="24"/>
          <w:szCs w:val="24"/>
        </w:rPr>
        <w:t xml:space="preserve"> fixant les attributions des ministères</w:t>
      </w:r>
      <w:r>
        <w:rPr>
          <w:rStyle w:val="Appelnotedebasdep"/>
          <w:rFonts w:ascii="Times New Roman" w:hAnsi="Times New Roman"/>
          <w:sz w:val="24"/>
          <w:szCs w:val="24"/>
        </w:rPr>
        <w:footnoteReference w:id="13"/>
      </w:r>
      <w:r>
        <w:rPr>
          <w:rFonts w:ascii="Times New Roman" w:hAnsi="Times New Roman"/>
          <w:sz w:val="24"/>
          <w:szCs w:val="24"/>
        </w:rPr>
        <w:t>, i</w:t>
      </w:r>
      <w:r w:rsidRPr="00173CA9">
        <w:rPr>
          <w:rFonts w:ascii="Times New Roman" w:hAnsi="Times New Roman"/>
          <w:sz w:val="24"/>
          <w:szCs w:val="24"/>
        </w:rPr>
        <w:t xml:space="preserve">l est chargé </w:t>
      </w:r>
      <w:r>
        <w:rPr>
          <w:rFonts w:ascii="Times New Roman" w:hAnsi="Times New Roman"/>
          <w:sz w:val="24"/>
          <w:szCs w:val="24"/>
        </w:rPr>
        <w:t>notamment</w:t>
      </w:r>
      <w:r w:rsidRPr="00173CA9">
        <w:rPr>
          <w:rFonts w:ascii="Times New Roman" w:hAnsi="Times New Roman"/>
          <w:sz w:val="24"/>
          <w:szCs w:val="24"/>
        </w:rPr>
        <w:t xml:space="preserve"> de :</w:t>
      </w:r>
    </w:p>
    <w:p w14:paraId="31444D95"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au respect des lois et règlements dans l’exercice des activités pétrolières ;</w:t>
      </w:r>
    </w:p>
    <w:p w14:paraId="24610A1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les travaux liés à la prospection, l’exploration, la production, le raffinage et l’approvisionnement du pays en produits pétroliers ;</w:t>
      </w:r>
    </w:p>
    <w:p w14:paraId="39CE1B8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accorder l’autorisation de prospection et attribuer les droits d’exploration et d’exploitation des hydrocarbures ;</w:t>
      </w:r>
    </w:p>
    <w:p w14:paraId="3303FDB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octroyer les autorisations de raffinage, de fournitures des produits pétroliers, de transport-stockage, d’importation et de commercialisation des produits pétroliers et de l’industrie pétrochimique ;</w:t>
      </w:r>
    </w:p>
    <w:p w14:paraId="3B282061"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à la promotion des activités pétrolières des nationaux dans le cadre du contenu local ;</w:t>
      </w:r>
    </w:p>
    <w:p w14:paraId="0D6F021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assurer l’exécution des prescriptions d’Hygiène, Sécurité et Environnement (HSE) ;</w:t>
      </w:r>
    </w:p>
    <w:p w14:paraId="76B0899E"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fixer les normes et les spécifications des produits pétroliers ;</w:t>
      </w:r>
    </w:p>
    <w:p w14:paraId="6D9C5AFF"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certifier les quantités et qualités des produits pétroliers ;</w:t>
      </w:r>
    </w:p>
    <w:p w14:paraId="225BD85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la constitution des stocks de sécurité opérationnels ;</w:t>
      </w:r>
    </w:p>
    <w:p w14:paraId="3887EE4E"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contrôler et gérer les stocks stratégiques ;</w:t>
      </w:r>
    </w:p>
    <w:p w14:paraId="51CDF89B"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veiller sur le déroulement des activités d’hydrocarbures ainsi que des activités connexes ;</w:t>
      </w:r>
    </w:p>
    <w:p w14:paraId="65C73D14"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conclure des accords internationaux dans le domaine des hydrocarbures, le Conseil des Ministres entendu ;</w:t>
      </w:r>
    </w:p>
    <w:p w14:paraId="277F224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gérer la banque de données pétrolières et gazières du Ministère ;</w:t>
      </w:r>
    </w:p>
    <w:p w14:paraId="5351C000" w14:textId="77777777" w:rsidR="00207B9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participer à la fixation des prix des produits pétroliers ;</w:t>
      </w:r>
    </w:p>
    <w:p w14:paraId="023F962C" w14:textId="77777777" w:rsidR="00256DE8" w:rsidRDefault="00207B98" w:rsidP="000738D3">
      <w:pPr>
        <w:numPr>
          <w:ilvl w:val="0"/>
          <w:numId w:val="17"/>
        </w:numPr>
        <w:spacing w:after="0" w:line="276" w:lineRule="auto"/>
        <w:ind w:left="709" w:right="567" w:hanging="142"/>
        <w:jc w:val="both"/>
        <w:rPr>
          <w:rFonts w:ascii="Times New Roman" w:hAnsi="Times New Roman"/>
          <w:sz w:val="24"/>
          <w:szCs w:val="24"/>
        </w:rPr>
      </w:pPr>
      <w:r>
        <w:rPr>
          <w:rFonts w:ascii="Times New Roman" w:hAnsi="Times New Roman"/>
          <w:sz w:val="24"/>
          <w:szCs w:val="24"/>
        </w:rPr>
        <w:t>publier annuellement sur le site web du Ministère toutes les statistiques relatives à la production, aux paiements et aux recettes déclarées, après vérification de l’Administration.</w:t>
      </w:r>
    </w:p>
    <w:p w14:paraId="6D46CD0A" w14:textId="77777777" w:rsidR="00207B98" w:rsidRPr="00DD3423" w:rsidRDefault="00207B98" w:rsidP="000738D3">
      <w:pPr>
        <w:pStyle w:val="Paragraphedeliste"/>
        <w:numPr>
          <w:ilvl w:val="2"/>
          <w:numId w:val="16"/>
        </w:numPr>
        <w:spacing w:before="240" w:line="240" w:lineRule="auto"/>
        <w:ind w:left="851" w:right="567" w:hanging="578"/>
        <w:jc w:val="both"/>
        <w:rPr>
          <w:rFonts w:ascii="Times New Roman" w:hAnsi="Times New Roman" w:cs="Times New Roman"/>
          <w:i/>
        </w:rPr>
      </w:pPr>
      <w:r w:rsidRPr="00173CA9">
        <w:rPr>
          <w:rFonts w:ascii="Times New Roman" w:hAnsi="Times New Roman" w:cs="Times New Roman"/>
          <w:b/>
          <w:u w:val="single"/>
        </w:rPr>
        <w:lastRenderedPageBreak/>
        <w:t>Le Secrétariat Général des Hydrocarbures</w:t>
      </w:r>
      <w:r w:rsidRPr="00DD3423">
        <w:rPr>
          <w:rFonts w:ascii="Times New Roman" w:hAnsi="Times New Roman" w:cs="Times New Roman"/>
          <w:b/>
        </w:rPr>
        <w:t xml:space="preserve"> </w:t>
      </w:r>
    </w:p>
    <w:p w14:paraId="5034F1DE" w14:textId="77777777" w:rsidR="00207B98" w:rsidRPr="00DD3423" w:rsidRDefault="00207B98" w:rsidP="00256DE8">
      <w:pPr>
        <w:pStyle w:val="Paragraphedeliste"/>
        <w:spacing w:before="240" w:line="240" w:lineRule="auto"/>
        <w:ind w:left="851" w:right="567"/>
        <w:jc w:val="both"/>
        <w:rPr>
          <w:rFonts w:ascii="Times New Roman" w:hAnsi="Times New Roman" w:cs="Times New Roman"/>
          <w:i/>
        </w:rPr>
      </w:pPr>
      <w:r w:rsidRPr="00DD3423">
        <w:rPr>
          <w:rFonts w:ascii="Times New Roman" w:hAnsi="Times New Roman" w:cs="Times New Roman"/>
          <w:i/>
        </w:rPr>
        <w:t>(Article 15, Règlement d’Hydrocarbures)</w:t>
      </w:r>
    </w:p>
    <w:p w14:paraId="1A2FA798" w14:textId="77777777" w:rsidR="00207B98" w:rsidRDefault="00207B98" w:rsidP="00256DE8">
      <w:pPr>
        <w:spacing w:line="240" w:lineRule="auto"/>
        <w:ind w:left="284" w:right="567"/>
        <w:jc w:val="both"/>
        <w:rPr>
          <w:rFonts w:ascii="Times New Roman" w:hAnsi="Times New Roman"/>
          <w:sz w:val="24"/>
          <w:szCs w:val="24"/>
        </w:rPr>
      </w:pPr>
      <w:r w:rsidRPr="00173CA9">
        <w:rPr>
          <w:rFonts w:ascii="Times New Roman" w:hAnsi="Times New Roman"/>
          <w:sz w:val="24"/>
          <w:szCs w:val="24"/>
        </w:rPr>
        <w:t xml:space="preserve">Le Ministère des Hydrocarbures est doté d’un </w:t>
      </w:r>
      <w:r w:rsidRPr="00173CA9">
        <w:rPr>
          <w:rFonts w:ascii="Times New Roman" w:hAnsi="Times New Roman"/>
          <w:b/>
          <w:sz w:val="24"/>
          <w:szCs w:val="24"/>
        </w:rPr>
        <w:t xml:space="preserve">Secrétariat Général </w:t>
      </w:r>
      <w:r w:rsidRPr="00173CA9">
        <w:rPr>
          <w:rFonts w:ascii="Times New Roman" w:hAnsi="Times New Roman"/>
          <w:sz w:val="24"/>
          <w:szCs w:val="24"/>
        </w:rPr>
        <w:t xml:space="preserve">qui </w:t>
      </w:r>
      <w:r>
        <w:rPr>
          <w:rFonts w:ascii="Times New Roman" w:hAnsi="Times New Roman"/>
          <w:sz w:val="24"/>
          <w:szCs w:val="24"/>
        </w:rPr>
        <w:t xml:space="preserve">en </w:t>
      </w:r>
      <w:r w:rsidRPr="00173CA9">
        <w:rPr>
          <w:rFonts w:ascii="Times New Roman" w:hAnsi="Times New Roman"/>
          <w:sz w:val="24"/>
          <w:szCs w:val="24"/>
        </w:rPr>
        <w:t xml:space="preserve">est l’organe </w:t>
      </w:r>
      <w:r>
        <w:rPr>
          <w:rFonts w:ascii="Times New Roman" w:hAnsi="Times New Roman"/>
          <w:sz w:val="24"/>
          <w:szCs w:val="24"/>
        </w:rPr>
        <w:t xml:space="preserve">administratif et </w:t>
      </w:r>
      <w:r w:rsidRPr="00173CA9">
        <w:rPr>
          <w:rFonts w:ascii="Times New Roman" w:hAnsi="Times New Roman"/>
          <w:sz w:val="24"/>
          <w:szCs w:val="24"/>
        </w:rPr>
        <w:t xml:space="preserve">technique </w:t>
      </w:r>
      <w:r>
        <w:rPr>
          <w:rFonts w:ascii="Times New Roman" w:hAnsi="Times New Roman"/>
          <w:sz w:val="24"/>
          <w:szCs w:val="24"/>
        </w:rPr>
        <w:t>assistant</w:t>
      </w:r>
      <w:r w:rsidRPr="00173CA9">
        <w:rPr>
          <w:rFonts w:ascii="Times New Roman" w:hAnsi="Times New Roman"/>
          <w:sz w:val="24"/>
          <w:szCs w:val="24"/>
        </w:rPr>
        <w:t xml:space="preserve"> le Ministre dans l’exercice de ses fonctions. Il est chargé essentiellement de :</w:t>
      </w:r>
    </w:p>
    <w:p w14:paraId="313D32CF"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traiter et analyser les dossiers lui confiés par le Ministre ;</w:t>
      </w:r>
    </w:p>
    <w:p w14:paraId="13D2F8B5"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veiller à la bonne exécution des décisions du Ministre ;</w:t>
      </w:r>
    </w:p>
    <w:p w14:paraId="1F9BF280"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contrôler, suivre et évaluer les activités des sociétés pétrolières et gazières ainsi que de leurs filiales participant à l’activité ou sous-traitants ;</w:t>
      </w:r>
    </w:p>
    <w:p w14:paraId="3CB2DB90"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traiter les requêtes et rapports des opérateurs pétroliers ;</w:t>
      </w:r>
    </w:p>
    <w:p w14:paraId="349DEC98"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constater, liquider les recettes du Ministère ;</w:t>
      </w:r>
    </w:p>
    <w:p w14:paraId="298A4F6C"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constater les besoins et préparer les dossiers d’appel d’offres à soumettre au Ministre ;</w:t>
      </w:r>
    </w:p>
    <w:p w14:paraId="3A15B1A9"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préparer les contrats et assurer le suivi ;</w:t>
      </w:r>
    </w:p>
    <w:p w14:paraId="6D4D688C"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concevoir les normes techniques du secteur ;</w:t>
      </w:r>
    </w:p>
    <w:p w14:paraId="4DB0BFFD"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contrôler les infrastructures de distribution, transport-stockage des produits pétroliers et de pétrochimie ;</w:t>
      </w:r>
    </w:p>
    <w:p w14:paraId="10C233F1"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identifier les besoins en formation et élaborer les plans et programmes de renforcement des capacités du personnel du Ministère ;</w:t>
      </w:r>
    </w:p>
    <w:p w14:paraId="054F4EAA"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tenir les registres des droits d’hydrocarbures et autorisation spécifiques accordés par le Ministre ;</w:t>
      </w:r>
    </w:p>
    <w:p w14:paraId="4E898661"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élaborer et évaluer les projets pétroliers ;</w:t>
      </w:r>
    </w:p>
    <w:p w14:paraId="0CF5210A"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préparer les prévisions budgétaires des dépenses, des recettes et d’investissement du Ministère ;</w:t>
      </w:r>
    </w:p>
    <w:p w14:paraId="33014264" w14:textId="77777777" w:rsidR="00207B98" w:rsidRDefault="00207B98" w:rsidP="000738D3">
      <w:pPr>
        <w:numPr>
          <w:ilvl w:val="0"/>
          <w:numId w:val="17"/>
        </w:numPr>
        <w:spacing w:after="0" w:line="276" w:lineRule="auto"/>
        <w:ind w:left="567" w:right="567" w:hanging="142"/>
        <w:jc w:val="both"/>
        <w:rPr>
          <w:rFonts w:ascii="Times New Roman" w:hAnsi="Times New Roman"/>
          <w:sz w:val="24"/>
          <w:szCs w:val="24"/>
        </w:rPr>
      </w:pPr>
      <w:r>
        <w:rPr>
          <w:rFonts w:ascii="Times New Roman" w:hAnsi="Times New Roman"/>
          <w:sz w:val="24"/>
          <w:szCs w:val="24"/>
        </w:rPr>
        <w:t>inspecter les conditions de travail dans les activités d’hydrocarbures ;</w:t>
      </w:r>
    </w:p>
    <w:p w14:paraId="525CD44A" w14:textId="77777777" w:rsidR="0027285F" w:rsidRDefault="00207B98" w:rsidP="000738D3">
      <w:pPr>
        <w:numPr>
          <w:ilvl w:val="0"/>
          <w:numId w:val="17"/>
        </w:numPr>
        <w:spacing w:line="276" w:lineRule="auto"/>
        <w:ind w:left="567" w:right="567" w:hanging="142"/>
        <w:jc w:val="both"/>
        <w:rPr>
          <w:rFonts w:ascii="Times New Roman" w:hAnsi="Times New Roman"/>
          <w:sz w:val="24"/>
          <w:szCs w:val="24"/>
        </w:rPr>
      </w:pPr>
      <w:r>
        <w:rPr>
          <w:rFonts w:ascii="Times New Roman" w:hAnsi="Times New Roman"/>
          <w:sz w:val="24"/>
          <w:szCs w:val="24"/>
        </w:rPr>
        <w:t>élaborer, conserver et diffuser la documentation relative aux hydrocarbures.</w:t>
      </w:r>
    </w:p>
    <w:p w14:paraId="5E997D9F" w14:textId="77777777" w:rsidR="00207B98" w:rsidRPr="00840E13" w:rsidRDefault="00207B98" w:rsidP="00207B98">
      <w:pPr>
        <w:spacing w:after="0" w:line="240" w:lineRule="auto"/>
        <w:ind w:left="1418" w:right="567"/>
        <w:jc w:val="both"/>
        <w:rPr>
          <w:rFonts w:ascii="Times New Roman" w:hAnsi="Times New Roman"/>
          <w:b/>
          <w:sz w:val="8"/>
          <w:szCs w:val="8"/>
        </w:rPr>
      </w:pPr>
    </w:p>
    <w:p w14:paraId="41751F98" w14:textId="77777777" w:rsidR="00207B98" w:rsidRPr="00173CA9" w:rsidRDefault="00207B98" w:rsidP="000738D3">
      <w:pPr>
        <w:pStyle w:val="Paragraphedeliste"/>
        <w:numPr>
          <w:ilvl w:val="2"/>
          <w:numId w:val="16"/>
        </w:numPr>
        <w:spacing w:line="240" w:lineRule="auto"/>
        <w:ind w:left="851" w:right="567" w:hanging="578"/>
        <w:jc w:val="both"/>
        <w:rPr>
          <w:rFonts w:ascii="Times New Roman" w:hAnsi="Times New Roman" w:cs="Times New Roman"/>
          <w:b/>
          <w:u w:val="single"/>
        </w:rPr>
      </w:pPr>
      <w:r w:rsidRPr="00173CA9">
        <w:rPr>
          <w:rFonts w:ascii="Times New Roman" w:hAnsi="Times New Roman" w:cs="Times New Roman"/>
          <w:b/>
          <w:u w:val="single"/>
        </w:rPr>
        <w:t xml:space="preserve">La Société Nationale des Hydrocarbures du Congo (SONAHYDROC SA) </w:t>
      </w:r>
    </w:p>
    <w:p w14:paraId="4549D419" w14:textId="77777777" w:rsidR="00207B98" w:rsidRPr="00840E13" w:rsidRDefault="00207B98" w:rsidP="00207B98">
      <w:pPr>
        <w:spacing w:after="0" w:line="240" w:lineRule="auto"/>
        <w:ind w:left="1418" w:right="567"/>
        <w:jc w:val="both"/>
        <w:rPr>
          <w:rFonts w:ascii="Times New Roman" w:hAnsi="Times New Roman"/>
          <w:sz w:val="10"/>
          <w:szCs w:val="10"/>
        </w:rPr>
      </w:pPr>
    </w:p>
    <w:p w14:paraId="3C5AA0AB" w14:textId="77777777" w:rsidR="00207B98" w:rsidRPr="00173CA9" w:rsidRDefault="00207B98" w:rsidP="00256DE8">
      <w:pPr>
        <w:spacing w:after="0" w:line="240" w:lineRule="auto"/>
        <w:ind w:left="284" w:right="567"/>
        <w:jc w:val="both"/>
        <w:rPr>
          <w:rFonts w:ascii="Times New Roman" w:hAnsi="Times New Roman"/>
          <w:sz w:val="24"/>
          <w:szCs w:val="24"/>
        </w:rPr>
      </w:pPr>
      <w:r w:rsidRPr="00173CA9">
        <w:rPr>
          <w:rFonts w:ascii="Times New Roman" w:hAnsi="Times New Roman"/>
          <w:sz w:val="24"/>
          <w:szCs w:val="24"/>
        </w:rPr>
        <w:t xml:space="preserve">Les </w:t>
      </w:r>
      <w:r w:rsidRPr="00173CA9">
        <w:rPr>
          <w:rFonts w:ascii="Times New Roman" w:hAnsi="Times New Roman"/>
          <w:b/>
          <w:i/>
          <w:sz w:val="24"/>
          <w:szCs w:val="24"/>
        </w:rPr>
        <w:t>Statuts coordonnés</w:t>
      </w:r>
      <w:r w:rsidRPr="00173CA9">
        <w:rPr>
          <w:rFonts w:ascii="Times New Roman" w:hAnsi="Times New Roman"/>
          <w:sz w:val="24"/>
          <w:szCs w:val="24"/>
        </w:rPr>
        <w:t xml:space="preserve"> de SONAHYDROC SA sont publiés dans le Journal Officiel de la RDC (57</w:t>
      </w:r>
      <w:r w:rsidRPr="00173CA9">
        <w:rPr>
          <w:rFonts w:ascii="Times New Roman" w:hAnsi="Times New Roman"/>
          <w:sz w:val="24"/>
          <w:szCs w:val="24"/>
          <w:vertAlign w:val="superscript"/>
        </w:rPr>
        <w:t>ème</w:t>
      </w:r>
      <w:r w:rsidRPr="00173CA9">
        <w:rPr>
          <w:rFonts w:ascii="Times New Roman" w:hAnsi="Times New Roman"/>
          <w:sz w:val="24"/>
          <w:szCs w:val="24"/>
        </w:rPr>
        <w:t xml:space="preserve"> année, numéro spécial du 26 novembre 2016</w:t>
      </w:r>
      <w:r>
        <w:rPr>
          <w:rFonts w:ascii="Times New Roman" w:hAnsi="Times New Roman"/>
          <w:sz w:val="24"/>
          <w:szCs w:val="24"/>
        </w:rPr>
        <w:t>) et aussi sur le site web de l’ITIE-RDC</w:t>
      </w:r>
      <w:r>
        <w:rPr>
          <w:rStyle w:val="Appelnotedebasdep"/>
          <w:rFonts w:ascii="Times New Roman" w:hAnsi="Times New Roman"/>
          <w:sz w:val="24"/>
          <w:szCs w:val="24"/>
        </w:rPr>
        <w:footnoteReference w:id="14"/>
      </w:r>
      <w:r>
        <w:rPr>
          <w:rFonts w:ascii="Times New Roman" w:hAnsi="Times New Roman"/>
          <w:sz w:val="24"/>
          <w:szCs w:val="24"/>
        </w:rPr>
        <w:t xml:space="preserve"> sur ce </w:t>
      </w:r>
      <w:hyperlink r:id="rId24" w:history="1">
        <w:r w:rsidRPr="00E512DE">
          <w:rPr>
            <w:rStyle w:val="Lienhypertexte"/>
            <w:rFonts w:ascii="Times New Roman" w:hAnsi="Times New Roman"/>
            <w:sz w:val="24"/>
            <w:szCs w:val="24"/>
          </w:rPr>
          <w:t>lien</w:t>
        </w:r>
      </w:hyperlink>
      <w:r w:rsidRPr="00173CA9">
        <w:rPr>
          <w:rFonts w:ascii="Times New Roman" w:hAnsi="Times New Roman"/>
          <w:sz w:val="24"/>
          <w:szCs w:val="24"/>
        </w:rPr>
        <w:t>.</w:t>
      </w:r>
    </w:p>
    <w:p w14:paraId="7BD294F0" w14:textId="77777777" w:rsidR="00207B98" w:rsidRDefault="00207B98" w:rsidP="00256DE8">
      <w:pPr>
        <w:spacing w:before="240" w:after="0" w:line="240" w:lineRule="auto"/>
        <w:ind w:left="284" w:right="567"/>
        <w:jc w:val="both"/>
        <w:rPr>
          <w:rFonts w:ascii="Times New Roman" w:hAnsi="Times New Roman"/>
          <w:sz w:val="24"/>
          <w:szCs w:val="24"/>
        </w:rPr>
      </w:pPr>
      <w:r w:rsidRPr="00173CA9">
        <w:rPr>
          <w:rFonts w:ascii="Times New Roman" w:hAnsi="Times New Roman"/>
          <w:sz w:val="24"/>
          <w:szCs w:val="24"/>
        </w:rPr>
        <w:t xml:space="preserve">Créée par le Décret-loi n° 245 du 9 août 1999, </w:t>
      </w:r>
      <w:r>
        <w:rPr>
          <w:rFonts w:ascii="Times New Roman" w:hAnsi="Times New Roman"/>
          <w:sz w:val="24"/>
          <w:szCs w:val="24"/>
        </w:rPr>
        <w:t xml:space="preserve">la Congolaise des Hydrocarbures (COHYDRO) a été transformée en </w:t>
      </w:r>
      <w:r w:rsidRPr="00173CA9">
        <w:rPr>
          <w:rFonts w:ascii="Times New Roman" w:hAnsi="Times New Roman"/>
          <w:sz w:val="24"/>
          <w:szCs w:val="24"/>
        </w:rPr>
        <w:t xml:space="preserve">SONAHYDROC SA </w:t>
      </w:r>
      <w:r>
        <w:rPr>
          <w:rFonts w:ascii="Times New Roman" w:hAnsi="Times New Roman"/>
          <w:sz w:val="24"/>
          <w:szCs w:val="24"/>
        </w:rPr>
        <w:t xml:space="preserve">en application des articles 14 à 18 du Code des Hydrocarbures. </w:t>
      </w:r>
    </w:p>
    <w:p w14:paraId="58A8ACB4" w14:textId="77777777" w:rsidR="00207B98" w:rsidRDefault="00207B98" w:rsidP="00256DE8">
      <w:pPr>
        <w:spacing w:before="240" w:after="0" w:line="240" w:lineRule="auto"/>
        <w:ind w:left="284" w:right="567"/>
        <w:jc w:val="both"/>
        <w:rPr>
          <w:rFonts w:ascii="Times New Roman" w:hAnsi="Times New Roman"/>
          <w:sz w:val="24"/>
          <w:szCs w:val="24"/>
        </w:rPr>
      </w:pPr>
      <w:r>
        <w:rPr>
          <w:rFonts w:ascii="Times New Roman" w:hAnsi="Times New Roman"/>
          <w:sz w:val="24"/>
          <w:szCs w:val="24"/>
        </w:rPr>
        <w:t>Aux termes du Règlement d’Hydrocarbures (article 16), elle a pour mission, entre autres, de :</w:t>
      </w:r>
    </w:p>
    <w:p w14:paraId="59F6566C" w14:textId="77777777" w:rsidR="00207B98" w:rsidRDefault="00207B98" w:rsidP="000738D3">
      <w:pPr>
        <w:numPr>
          <w:ilvl w:val="0"/>
          <w:numId w:val="17"/>
        </w:numPr>
        <w:spacing w:after="0" w:line="276" w:lineRule="auto"/>
        <w:ind w:left="426" w:right="567" w:firstLine="0"/>
        <w:jc w:val="both"/>
        <w:rPr>
          <w:rFonts w:ascii="Times New Roman" w:hAnsi="Times New Roman"/>
          <w:sz w:val="24"/>
          <w:szCs w:val="24"/>
        </w:rPr>
      </w:pPr>
      <w:r>
        <w:rPr>
          <w:rFonts w:ascii="Times New Roman" w:hAnsi="Times New Roman"/>
          <w:sz w:val="24"/>
          <w:szCs w:val="24"/>
        </w:rPr>
        <w:t>contribuer à la valorisation et à la gestion du patrimoine pétrolier ;</w:t>
      </w:r>
    </w:p>
    <w:p w14:paraId="5A5E4FB0" w14:textId="77777777" w:rsidR="00207B98" w:rsidRDefault="00207B98" w:rsidP="000738D3">
      <w:pPr>
        <w:numPr>
          <w:ilvl w:val="0"/>
          <w:numId w:val="17"/>
        </w:numPr>
        <w:spacing w:after="0" w:line="276" w:lineRule="auto"/>
        <w:ind w:left="709" w:right="567" w:hanging="283"/>
        <w:jc w:val="both"/>
        <w:rPr>
          <w:rFonts w:ascii="Times New Roman" w:hAnsi="Times New Roman"/>
          <w:sz w:val="24"/>
          <w:szCs w:val="24"/>
        </w:rPr>
      </w:pPr>
      <w:r>
        <w:rPr>
          <w:rFonts w:ascii="Times New Roman" w:hAnsi="Times New Roman"/>
          <w:sz w:val="24"/>
          <w:szCs w:val="24"/>
        </w:rPr>
        <w:t xml:space="preserve">constituer et maintenir pour le compte de l’Etat les stocks stratégiques de tous les produits pétroliers ; </w:t>
      </w:r>
    </w:p>
    <w:p w14:paraId="6F2406B3" w14:textId="77777777" w:rsidR="00207B98" w:rsidRDefault="00207B98" w:rsidP="000738D3">
      <w:pPr>
        <w:numPr>
          <w:ilvl w:val="0"/>
          <w:numId w:val="17"/>
        </w:numPr>
        <w:spacing w:after="0" w:line="276" w:lineRule="auto"/>
        <w:ind w:left="709" w:right="567" w:hanging="283"/>
        <w:jc w:val="both"/>
        <w:rPr>
          <w:rFonts w:ascii="Times New Roman" w:hAnsi="Times New Roman"/>
          <w:sz w:val="24"/>
          <w:szCs w:val="24"/>
        </w:rPr>
      </w:pPr>
      <w:r>
        <w:rPr>
          <w:rFonts w:ascii="Times New Roman" w:hAnsi="Times New Roman"/>
          <w:sz w:val="24"/>
          <w:szCs w:val="24"/>
        </w:rPr>
        <w:lastRenderedPageBreak/>
        <w:t>participer au développement des activités pétrolières et gazières sur l’ensemble du territoire National.</w:t>
      </w:r>
    </w:p>
    <w:p w14:paraId="5421F338" w14:textId="77777777" w:rsidR="00207B98" w:rsidRPr="00173CA9" w:rsidRDefault="00207B98" w:rsidP="00256DE8">
      <w:pPr>
        <w:spacing w:before="240" w:line="240" w:lineRule="auto"/>
        <w:ind w:left="284" w:right="567"/>
        <w:jc w:val="both"/>
        <w:rPr>
          <w:rFonts w:ascii="Times New Roman" w:hAnsi="Times New Roman"/>
          <w:sz w:val="24"/>
          <w:szCs w:val="24"/>
        </w:rPr>
      </w:pPr>
      <w:r>
        <w:rPr>
          <w:rFonts w:ascii="Times New Roman" w:hAnsi="Times New Roman"/>
          <w:sz w:val="24"/>
          <w:szCs w:val="24"/>
        </w:rPr>
        <w:t xml:space="preserve">Au regard de ses statuts, SONAHYDROC SA </w:t>
      </w:r>
      <w:r w:rsidRPr="00173CA9">
        <w:rPr>
          <w:rFonts w:ascii="Times New Roman" w:hAnsi="Times New Roman"/>
          <w:sz w:val="24"/>
          <w:szCs w:val="24"/>
        </w:rPr>
        <w:t>est une société spécialisée dans :</w:t>
      </w:r>
    </w:p>
    <w:p w14:paraId="357C7E4A"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prospection, l’exploration et la production des hydrocarbures, seule et/ou en association avec des partenaires nationaux et étrangers, dans les bassins sédimentaires à l’intérieur et à l’extérieur de la RDC ;</w:t>
      </w:r>
    </w:p>
    <w:p w14:paraId="0405B9A6"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l’exploration, la production et le développement des gisements d’hydrocarbures liquides, solides et gazeux en amont, seule et/ou en association avec des partenaires nationaux et étrangers ;</w:t>
      </w:r>
    </w:p>
    <w:p w14:paraId="6AAFC3D5"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commercialisation des hydrocarbures pour elle-même ou pour le compte de l’Etat ;</w:t>
      </w:r>
    </w:p>
    <w:p w14:paraId="73F8BADC"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l’implantation et le développement de l’industrie de raffinage, de pétrochimie et de production de biocarburant, seule et/ou en association avec des partenaires nationaux et étrangers ;</w:t>
      </w:r>
    </w:p>
    <w:p w14:paraId="28258D20"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les activités de stockage et de transport des produits pétroliers ;</w:t>
      </w:r>
    </w:p>
    <w:p w14:paraId="43A3BA33" w14:textId="77777777" w:rsidR="00207B98" w:rsidRPr="00173CA9" w:rsidRDefault="00207B98" w:rsidP="000738D3">
      <w:pPr>
        <w:numPr>
          <w:ilvl w:val="0"/>
          <w:numId w:val="17"/>
        </w:numPr>
        <w:spacing w:after="0" w:line="276" w:lineRule="auto"/>
        <w:ind w:left="709" w:right="567" w:hanging="284"/>
        <w:jc w:val="both"/>
        <w:rPr>
          <w:rFonts w:ascii="Times New Roman" w:hAnsi="Times New Roman"/>
          <w:sz w:val="24"/>
          <w:szCs w:val="24"/>
        </w:rPr>
      </w:pPr>
      <w:r w:rsidRPr="00173CA9">
        <w:rPr>
          <w:rFonts w:ascii="Times New Roman" w:hAnsi="Times New Roman"/>
          <w:sz w:val="24"/>
          <w:szCs w:val="24"/>
        </w:rPr>
        <w:t>la distribution commerciale par l’importation et l’exportation des produits pétroliers et dérivés ;</w:t>
      </w:r>
    </w:p>
    <w:p w14:paraId="7B2B0B7E" w14:textId="77777777" w:rsidR="00207B98" w:rsidRPr="00173CA9" w:rsidRDefault="00207B98" w:rsidP="000738D3">
      <w:pPr>
        <w:numPr>
          <w:ilvl w:val="0"/>
          <w:numId w:val="17"/>
        </w:numPr>
        <w:spacing w:line="276" w:lineRule="auto"/>
        <w:ind w:left="709" w:right="567" w:hanging="284"/>
        <w:jc w:val="both"/>
        <w:rPr>
          <w:rFonts w:ascii="Times New Roman" w:hAnsi="Times New Roman"/>
          <w:sz w:val="24"/>
          <w:szCs w:val="24"/>
        </w:rPr>
      </w:pPr>
      <w:r w:rsidRPr="00173CA9">
        <w:rPr>
          <w:rFonts w:ascii="Times New Roman" w:hAnsi="Times New Roman"/>
          <w:sz w:val="24"/>
          <w:szCs w:val="24"/>
        </w:rPr>
        <w:t>la prise et la détention des participations de l’Etat dans les sociétés du secteur des hydrocarbures en amont et à la création des filiales.</w:t>
      </w:r>
    </w:p>
    <w:p w14:paraId="3D64E03A" w14:textId="77777777" w:rsidR="00207B98" w:rsidRPr="00173CA9" w:rsidRDefault="00207B98" w:rsidP="00256DE8">
      <w:pPr>
        <w:spacing w:after="0" w:line="276" w:lineRule="auto"/>
        <w:ind w:left="426" w:right="567"/>
        <w:jc w:val="both"/>
        <w:rPr>
          <w:rFonts w:ascii="Times New Roman" w:hAnsi="Times New Roman"/>
          <w:sz w:val="24"/>
          <w:szCs w:val="24"/>
        </w:rPr>
      </w:pPr>
      <w:r w:rsidRPr="00173CA9">
        <w:rPr>
          <w:rFonts w:ascii="Times New Roman" w:hAnsi="Times New Roman"/>
          <w:sz w:val="24"/>
          <w:szCs w:val="24"/>
        </w:rPr>
        <w:t>SONAHYDROC SA peut aussi entreprendre, par voie d’apports, souscription, fusion, participation financière, ou sous toute autre forme, toute opération dans des sociétés ou entreprises ayant un objet similaire ou connexe, et d’une manière générale, toutes opérations commerciales, industrielles, financières, mobilières ou immobilières pouvant se rattacher directement ou indirectement, en totalité ou en partie, à l’un quelconque de ses objets ou à tous objets similaires ou connexes et susceptibles d’en faciliter ou d’en favoriser le développement, la réalisation ou l’extension.</w:t>
      </w:r>
    </w:p>
    <w:p w14:paraId="61FAE9DC" w14:textId="77777777" w:rsidR="00207B98" w:rsidRPr="00840E13" w:rsidRDefault="00207B98" w:rsidP="00207B98">
      <w:pPr>
        <w:spacing w:after="0" w:line="240" w:lineRule="auto"/>
        <w:ind w:left="1418" w:right="567"/>
        <w:jc w:val="both"/>
        <w:rPr>
          <w:rFonts w:ascii="Times New Roman" w:hAnsi="Times New Roman"/>
          <w:color w:val="FF0000"/>
          <w:sz w:val="8"/>
          <w:szCs w:val="8"/>
        </w:rPr>
      </w:pPr>
    </w:p>
    <w:p w14:paraId="71EA8020" w14:textId="77777777" w:rsidR="00207B98" w:rsidRPr="00173CA9" w:rsidRDefault="00207B98" w:rsidP="000738D3">
      <w:pPr>
        <w:pStyle w:val="Paragraphedeliste"/>
        <w:numPr>
          <w:ilvl w:val="2"/>
          <w:numId w:val="16"/>
        </w:numPr>
        <w:spacing w:after="0" w:line="240" w:lineRule="auto"/>
        <w:ind w:left="851" w:right="567" w:hanging="567"/>
        <w:jc w:val="both"/>
        <w:rPr>
          <w:rFonts w:ascii="Times New Roman" w:hAnsi="Times New Roman" w:cs="Times New Roman"/>
          <w:sz w:val="24"/>
          <w:szCs w:val="24"/>
          <w:u w:val="single"/>
        </w:rPr>
      </w:pPr>
      <w:r w:rsidRPr="00173CA9">
        <w:rPr>
          <w:rFonts w:ascii="Times New Roman" w:hAnsi="Times New Roman" w:cs="Times New Roman"/>
          <w:b/>
          <w:sz w:val="24"/>
          <w:szCs w:val="24"/>
          <w:u w:val="single"/>
        </w:rPr>
        <w:t>Le Fonds pour les générations futures</w:t>
      </w:r>
    </w:p>
    <w:p w14:paraId="4C423858" w14:textId="77777777" w:rsidR="00207B98" w:rsidRPr="00173CA9" w:rsidRDefault="00207B98" w:rsidP="00207B98">
      <w:pPr>
        <w:spacing w:after="0" w:line="240" w:lineRule="auto"/>
        <w:ind w:left="1418" w:right="567"/>
        <w:jc w:val="both"/>
        <w:rPr>
          <w:rFonts w:ascii="Times New Roman" w:hAnsi="Times New Roman"/>
          <w:sz w:val="24"/>
          <w:szCs w:val="24"/>
        </w:rPr>
      </w:pPr>
    </w:p>
    <w:p w14:paraId="23787764" w14:textId="77777777" w:rsidR="00207B98" w:rsidRDefault="00207B98" w:rsidP="00256DE8">
      <w:pPr>
        <w:spacing w:line="276" w:lineRule="auto"/>
        <w:ind w:left="284" w:right="567"/>
        <w:jc w:val="both"/>
        <w:rPr>
          <w:rFonts w:ascii="Times New Roman" w:hAnsi="Times New Roman"/>
          <w:sz w:val="24"/>
          <w:szCs w:val="24"/>
        </w:rPr>
      </w:pPr>
      <w:r w:rsidRPr="00173CA9">
        <w:rPr>
          <w:rFonts w:ascii="Times New Roman" w:hAnsi="Times New Roman"/>
          <w:sz w:val="24"/>
          <w:szCs w:val="24"/>
        </w:rPr>
        <w:t>La Loi n°15/012 du 1</w:t>
      </w:r>
      <w:r w:rsidRPr="00173CA9">
        <w:rPr>
          <w:rFonts w:ascii="Times New Roman" w:hAnsi="Times New Roman"/>
          <w:sz w:val="24"/>
          <w:szCs w:val="24"/>
          <w:vertAlign w:val="superscript"/>
        </w:rPr>
        <w:t>er</w:t>
      </w:r>
      <w:r w:rsidRPr="00173CA9">
        <w:rPr>
          <w:rFonts w:ascii="Times New Roman" w:hAnsi="Times New Roman"/>
          <w:sz w:val="24"/>
          <w:szCs w:val="24"/>
        </w:rPr>
        <w:t xml:space="preserve"> août 2015 a institué un fonds pour les générations futures dont les ressources proviennent notamment d'une quotité de la part du profit oïl de l'Etat. La gestion du fonds pour les générations futures est confiée à un établissement public qui sera créé à cet effet par un décret du Premier Ministre délibéré en Conseil des Ministres. </w:t>
      </w:r>
    </w:p>
    <w:p w14:paraId="5F88EEA0" w14:textId="419BE3C1" w:rsidR="00AA5F3F" w:rsidRDefault="00207B98" w:rsidP="00256DE8">
      <w:pPr>
        <w:spacing w:line="276" w:lineRule="auto"/>
        <w:ind w:left="284" w:right="567"/>
        <w:jc w:val="both"/>
        <w:rPr>
          <w:rFonts w:ascii="Times New Roman" w:hAnsi="Times New Roman"/>
          <w:sz w:val="24"/>
          <w:szCs w:val="24"/>
        </w:rPr>
      </w:pPr>
      <w:r>
        <w:rPr>
          <w:rFonts w:ascii="Times New Roman" w:hAnsi="Times New Roman"/>
          <w:sz w:val="24"/>
          <w:szCs w:val="24"/>
        </w:rPr>
        <w:t>Il y a lieu de constater que trois</w:t>
      </w:r>
      <w:r w:rsidRPr="004151FC">
        <w:rPr>
          <w:rFonts w:ascii="Times New Roman" w:hAnsi="Times New Roman"/>
          <w:sz w:val="24"/>
          <w:szCs w:val="24"/>
        </w:rPr>
        <w:t xml:space="preserve"> ans après la promulgation de la loi portant régime général des hydrocarbures et </w:t>
      </w:r>
      <w:r>
        <w:rPr>
          <w:rFonts w:ascii="Times New Roman" w:hAnsi="Times New Roman"/>
          <w:sz w:val="24"/>
          <w:szCs w:val="24"/>
        </w:rPr>
        <w:t>deux</w:t>
      </w:r>
      <w:r w:rsidRPr="004151FC">
        <w:rPr>
          <w:rFonts w:ascii="Times New Roman" w:hAnsi="Times New Roman"/>
          <w:sz w:val="24"/>
          <w:szCs w:val="24"/>
        </w:rPr>
        <w:t xml:space="preserve"> ans après la signature de ses mesures d’applications (Règlement d’Hydrocarbures)</w:t>
      </w:r>
      <w:r>
        <w:rPr>
          <w:rFonts w:ascii="Times New Roman" w:hAnsi="Times New Roman"/>
          <w:sz w:val="24"/>
          <w:szCs w:val="24"/>
        </w:rPr>
        <w:t>, le décret portant création de l’établissement chargé de gérer ce Fonds n’est toujours pas signé par le Premier Ministre</w:t>
      </w:r>
      <w:r w:rsidRPr="004151FC">
        <w:rPr>
          <w:rFonts w:ascii="Times New Roman" w:hAnsi="Times New Roman"/>
          <w:sz w:val="24"/>
          <w:szCs w:val="24"/>
        </w:rPr>
        <w:t xml:space="preserve">. </w:t>
      </w:r>
    </w:p>
    <w:p w14:paraId="147D4C3E" w14:textId="77777777" w:rsidR="00AA5F3F" w:rsidRDefault="00AA5F3F">
      <w:pPr>
        <w:rPr>
          <w:rFonts w:ascii="Times New Roman" w:hAnsi="Times New Roman"/>
          <w:sz w:val="24"/>
          <w:szCs w:val="24"/>
        </w:rPr>
      </w:pPr>
      <w:r>
        <w:rPr>
          <w:rFonts w:ascii="Times New Roman" w:hAnsi="Times New Roman"/>
          <w:sz w:val="24"/>
          <w:szCs w:val="24"/>
        </w:rPr>
        <w:br w:type="page"/>
      </w:r>
    </w:p>
    <w:p w14:paraId="23374BEA" w14:textId="77777777" w:rsidR="00207B98" w:rsidRPr="006443D7" w:rsidRDefault="00207B98" w:rsidP="006443D7">
      <w:pPr>
        <w:pStyle w:val="Titre3"/>
        <w:spacing w:before="240"/>
        <w:ind w:left="426"/>
        <w:rPr>
          <w:rFonts w:ascii="Times New Roman" w:hAnsi="Times New Roman" w:cs="Times New Roman"/>
          <w:sz w:val="24"/>
          <w:szCs w:val="24"/>
        </w:rPr>
      </w:pPr>
      <w:bookmarkStart w:id="60" w:name="_Toc515589772"/>
      <w:bookmarkStart w:id="61" w:name="_Toc515792935"/>
      <w:bookmarkStart w:id="62" w:name="_Toc515793174"/>
      <w:bookmarkStart w:id="63" w:name="_Toc518135487"/>
      <w:bookmarkStart w:id="64" w:name="_Toc518468058"/>
      <w:r w:rsidRPr="006443D7">
        <w:rPr>
          <w:rFonts w:ascii="Times New Roman" w:hAnsi="Times New Roman" w:cs="Times New Roman"/>
          <w:sz w:val="24"/>
          <w:szCs w:val="24"/>
        </w:rPr>
        <w:lastRenderedPageBreak/>
        <w:t>I.1.5. Réformes entreprises ou envisagées dans le secteur des hydrocarbures</w:t>
      </w:r>
      <w:bookmarkEnd w:id="60"/>
      <w:bookmarkEnd w:id="61"/>
      <w:bookmarkEnd w:id="62"/>
      <w:bookmarkEnd w:id="63"/>
      <w:bookmarkEnd w:id="64"/>
    </w:p>
    <w:p w14:paraId="1B68170B" w14:textId="77777777" w:rsidR="00207B98" w:rsidRPr="00256DE8" w:rsidRDefault="00207B98" w:rsidP="006443D7">
      <w:pPr>
        <w:spacing w:after="175" w:line="240" w:lineRule="auto"/>
        <w:ind w:left="426" w:right="567"/>
        <w:jc w:val="both"/>
        <w:rPr>
          <w:rFonts w:ascii="Times New Roman" w:hAnsi="Times New Roman"/>
          <w:sz w:val="24"/>
          <w:szCs w:val="24"/>
        </w:rPr>
      </w:pPr>
      <w:r w:rsidRPr="00256DE8">
        <w:rPr>
          <w:rFonts w:ascii="Times New Roman" w:hAnsi="Times New Roman"/>
          <w:sz w:val="24"/>
          <w:szCs w:val="24"/>
        </w:rPr>
        <w:t>Actuellement, le Décret n°16/010 du 19 avril 2016 portant Règlement d’hydrocarbures met en œuvre l’arsenal juridique ci-dessus prévu par la Loi n°15/012 du 1</w:t>
      </w:r>
      <w:r w:rsidRPr="00256DE8">
        <w:rPr>
          <w:rFonts w:ascii="Times New Roman" w:hAnsi="Times New Roman"/>
          <w:sz w:val="24"/>
          <w:szCs w:val="24"/>
          <w:vertAlign w:val="superscript"/>
        </w:rPr>
        <w:t>er</w:t>
      </w:r>
      <w:r w:rsidRPr="00256DE8">
        <w:rPr>
          <w:rFonts w:ascii="Times New Roman" w:hAnsi="Times New Roman"/>
          <w:sz w:val="24"/>
          <w:szCs w:val="24"/>
        </w:rPr>
        <w:t xml:space="preserve"> août 2015 portant Code des Hydrocarbures.</w:t>
      </w:r>
    </w:p>
    <w:p w14:paraId="0348BBF8" w14:textId="77777777" w:rsidR="00207B98" w:rsidRPr="00256DE8" w:rsidRDefault="00207B98" w:rsidP="006443D7">
      <w:pPr>
        <w:spacing w:after="0" w:line="240" w:lineRule="auto"/>
        <w:ind w:left="426" w:right="567"/>
        <w:jc w:val="both"/>
        <w:rPr>
          <w:rFonts w:ascii="Times New Roman" w:hAnsi="Times New Roman"/>
          <w:sz w:val="24"/>
          <w:szCs w:val="24"/>
        </w:rPr>
      </w:pPr>
      <w:r w:rsidRPr="00256DE8">
        <w:rPr>
          <w:rFonts w:ascii="Times New Roman" w:hAnsi="Times New Roman"/>
          <w:sz w:val="24"/>
          <w:szCs w:val="24"/>
        </w:rPr>
        <w:t>Ce dernier évoque les innovations à couler en réformes pour appliquer efficacement le Code. Ces innovations concernent principalement :</w:t>
      </w:r>
    </w:p>
    <w:p w14:paraId="185FCAB3" w14:textId="77777777" w:rsidR="00207B98" w:rsidRPr="00840E13" w:rsidRDefault="00207B98" w:rsidP="00207B98">
      <w:pPr>
        <w:spacing w:after="0" w:line="240" w:lineRule="auto"/>
        <w:ind w:left="1418" w:right="567"/>
        <w:jc w:val="both"/>
        <w:rPr>
          <w:rFonts w:ascii="Times New Roman" w:hAnsi="Times New Roman"/>
          <w:sz w:val="8"/>
          <w:szCs w:val="8"/>
        </w:rPr>
      </w:pPr>
    </w:p>
    <w:p w14:paraId="2DEFF1F3"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l'affirmation de la propriété de l'Etat sur les ressources d'hydrocarbures du sous-sol jusqu'au point d'exportation ;</w:t>
      </w:r>
    </w:p>
    <w:p w14:paraId="6921B53E"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mise en place d'un régime d'hydrocarbures basé principalement sur le contrat de partage de production et subsidiairement sur le contrat de services ;</w:t>
      </w:r>
    </w:p>
    <w:p w14:paraId="4D32EDAE"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couverture à travers son champ d'application de l'ensemble des segments du secteur des hydrocarbures, à savoir l'amont et l’aval pétroliers ;</w:t>
      </w:r>
    </w:p>
    <w:p w14:paraId="35D5041A"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consécration et le regroupement des grands principes généraux de l'aval pétrolier actuellement éparpillés dans des textes réglementaires ;</w:t>
      </w:r>
    </w:p>
    <w:p w14:paraId="480B35C2"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 xml:space="preserve">la création de 4 zones fiscales distinctes en fonction des caractéristiques géologiques et environnementales ; </w:t>
      </w:r>
    </w:p>
    <w:p w14:paraId="711A24EC"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L’harmonisation du régime fiscal et douanier pour toutes les sociétés pétrolières. Cette mesure vient annuler celle de l’ancienne législation qui prévoyait 2 régimes distincts pour les sociétés On shore et les sociétés off-shore ;</w:t>
      </w:r>
    </w:p>
    <w:p w14:paraId="13075C96"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l'obligation faite à l’Etat de s'investir dans les travaux de recherche géologique, géophysique et géochimique en vue de l'évaluation de ses ressources en hydrocarbures ;</w:t>
      </w:r>
    </w:p>
    <w:p w14:paraId="1C779ADF"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l’affirmation du principe selon lequel les droits d'hydrocarbures régulièrement acquis avant l'entrée en vigueur de la nouvelle loi conservent leurs validités jusqu'à expiration. A leur renouvellement, ils seront régis par les dispositions de la nouvelle loi ;</w:t>
      </w:r>
    </w:p>
    <w:p w14:paraId="337D0F37"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l’instauration d'une procédure spécifique d'appel d'offres pour l'attribution des droits d'hydrocarbures différente de la procédure organisant les marchés publics. Cette procédure est régulée et contrôlée par le Conseil des ministres (Gouvernement central) ;</w:t>
      </w:r>
    </w:p>
    <w:p w14:paraId="5FBD7F47"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 xml:space="preserve">la mise en place d’un fonds pour les générations futures. Les ressources du fonds proviennent notamment de la part du profit Oïl de l'Etat ; </w:t>
      </w:r>
    </w:p>
    <w:p w14:paraId="03C8BFE2"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la création d’une société nationale (SONAHYDROC) destinée à participer aux activités d’hydrocarbures en amont (avec une participation minimum de 20% non cessible) ;</w:t>
      </w:r>
    </w:p>
    <w:p w14:paraId="4775E298" w14:textId="77777777" w:rsidR="00207B98" w:rsidRPr="00840E13" w:rsidRDefault="00207B98" w:rsidP="000738D3">
      <w:pPr>
        <w:numPr>
          <w:ilvl w:val="0"/>
          <w:numId w:val="17"/>
        </w:numPr>
        <w:spacing w:line="240" w:lineRule="auto"/>
        <w:ind w:left="993" w:right="567" w:hanging="284"/>
        <w:jc w:val="both"/>
        <w:rPr>
          <w:rFonts w:ascii="Times New Roman" w:hAnsi="Times New Roman"/>
        </w:rPr>
      </w:pPr>
      <w:r w:rsidRPr="00840E13">
        <w:rPr>
          <w:rFonts w:ascii="Times New Roman" w:hAnsi="Times New Roman"/>
        </w:rPr>
        <w:t>l'instauration de la règle selon laquelle les droits d'hydrocarbures, en l'occurrence, le droit d'explorer et d'exploiter sont accordés uniquement par voie de contrat, à l'exclusion du permis ;</w:t>
      </w:r>
    </w:p>
    <w:p w14:paraId="1082C27B" w14:textId="77777777" w:rsidR="00207B98" w:rsidRPr="00840E13" w:rsidRDefault="00207B98" w:rsidP="000738D3">
      <w:pPr>
        <w:numPr>
          <w:ilvl w:val="0"/>
          <w:numId w:val="17"/>
        </w:numPr>
        <w:spacing w:after="0" w:line="240" w:lineRule="auto"/>
        <w:ind w:left="993" w:right="567" w:hanging="284"/>
        <w:jc w:val="both"/>
        <w:rPr>
          <w:rFonts w:ascii="Times New Roman" w:hAnsi="Times New Roman"/>
        </w:rPr>
      </w:pPr>
      <w:r w:rsidRPr="00840E13">
        <w:rPr>
          <w:rFonts w:ascii="Times New Roman" w:hAnsi="Times New Roman"/>
        </w:rPr>
        <w:t>la responsabilité sociétale des entreprises pétrolières aux fins d'impliquer ces dernières aux enjeux de développement durable en faveur des populations directement affectées par les travaux pétroliers, à travers des contributions et une provision pour les interventions sociales tant en phase d'exploration qu'en phase d'exploitation ; etc.</w:t>
      </w:r>
    </w:p>
    <w:p w14:paraId="50FF71D3" w14:textId="77777777" w:rsidR="00207B98" w:rsidRPr="00840E13" w:rsidRDefault="00207B98" w:rsidP="00207B98">
      <w:pPr>
        <w:spacing w:after="0" w:line="240" w:lineRule="auto"/>
        <w:ind w:left="1418" w:right="567"/>
        <w:jc w:val="both"/>
        <w:rPr>
          <w:rFonts w:ascii="Times New Roman" w:hAnsi="Times New Roman"/>
        </w:rPr>
      </w:pPr>
      <w:r w:rsidRPr="00840E13">
        <w:rPr>
          <w:rFonts w:ascii="Times New Roman" w:hAnsi="Times New Roman"/>
        </w:rPr>
        <w:t xml:space="preserve"> </w:t>
      </w:r>
    </w:p>
    <w:p w14:paraId="72BE9EF7" w14:textId="4BD38D85" w:rsidR="00207B98" w:rsidRPr="00F93418" w:rsidRDefault="00207B98" w:rsidP="00F077D5">
      <w:pPr>
        <w:pStyle w:val="Titre2"/>
        <w:spacing w:line="276" w:lineRule="auto"/>
        <w:rPr>
          <w:rFonts w:ascii="Times New Roman" w:hAnsi="Times New Roman" w:cs="Times New Roman"/>
          <w:sz w:val="24"/>
          <w:szCs w:val="24"/>
        </w:rPr>
      </w:pPr>
      <w:bookmarkStart w:id="65" w:name="_Toc515589773"/>
      <w:bookmarkStart w:id="66" w:name="_Toc515792936"/>
      <w:bookmarkStart w:id="67" w:name="_Toc515793175"/>
      <w:bookmarkStart w:id="68" w:name="_Toc518135488"/>
      <w:bookmarkStart w:id="69" w:name="_Toc518468059"/>
      <w:r w:rsidRPr="00F93418">
        <w:rPr>
          <w:rFonts w:ascii="Times New Roman" w:hAnsi="Times New Roman" w:cs="Times New Roman"/>
          <w:sz w:val="24"/>
          <w:szCs w:val="24"/>
        </w:rPr>
        <w:lastRenderedPageBreak/>
        <w:t xml:space="preserve">I.2. </w:t>
      </w:r>
      <w:r w:rsidR="00AA5F3F" w:rsidRPr="00F93418">
        <w:rPr>
          <w:rFonts w:ascii="Times New Roman" w:hAnsi="Times New Roman" w:cs="Times New Roman"/>
          <w:caps w:val="0"/>
          <w:sz w:val="24"/>
          <w:szCs w:val="24"/>
        </w:rPr>
        <w:t xml:space="preserve">Cadre légal et régime fiscal applicables aux industries </w:t>
      </w:r>
      <w:bookmarkEnd w:id="65"/>
      <w:bookmarkEnd w:id="66"/>
      <w:bookmarkEnd w:id="67"/>
      <w:bookmarkEnd w:id="68"/>
      <w:r w:rsidR="00AA5F3F" w:rsidRPr="00F93418">
        <w:rPr>
          <w:rFonts w:ascii="Times New Roman" w:hAnsi="Times New Roman" w:cs="Times New Roman"/>
          <w:caps w:val="0"/>
          <w:sz w:val="24"/>
          <w:szCs w:val="24"/>
        </w:rPr>
        <w:t>minières</w:t>
      </w:r>
      <w:bookmarkEnd w:id="69"/>
    </w:p>
    <w:p w14:paraId="15E5587A" w14:textId="77777777" w:rsidR="00207B98" w:rsidRPr="006443D7" w:rsidRDefault="00207B98" w:rsidP="006443D7">
      <w:pPr>
        <w:pStyle w:val="Titre3"/>
        <w:rPr>
          <w:rFonts w:ascii="Times New Roman" w:hAnsi="Times New Roman" w:cs="Times New Roman"/>
          <w:sz w:val="24"/>
          <w:szCs w:val="24"/>
        </w:rPr>
      </w:pPr>
      <w:bookmarkStart w:id="70" w:name="_Toc515589774"/>
      <w:bookmarkStart w:id="71" w:name="_Toc515792937"/>
      <w:bookmarkStart w:id="72" w:name="_Toc515793176"/>
      <w:bookmarkStart w:id="73" w:name="_Toc518135489"/>
      <w:bookmarkStart w:id="74" w:name="_Toc518468060"/>
      <w:r w:rsidRPr="006443D7">
        <w:rPr>
          <w:rFonts w:ascii="Times New Roman" w:hAnsi="Times New Roman" w:cs="Times New Roman"/>
          <w:sz w:val="24"/>
          <w:szCs w:val="24"/>
        </w:rPr>
        <w:t>I.2.1. Cadre légal et aperçu des lois et règlements en vigueur</w:t>
      </w:r>
      <w:bookmarkEnd w:id="70"/>
      <w:bookmarkEnd w:id="71"/>
      <w:bookmarkEnd w:id="72"/>
      <w:bookmarkEnd w:id="73"/>
      <w:bookmarkEnd w:id="74"/>
    </w:p>
    <w:p w14:paraId="1A8005C8"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Le Secteur minier congolais est régi par la </w:t>
      </w:r>
      <w:r w:rsidRPr="00F077D5">
        <w:rPr>
          <w:rFonts w:ascii="Times New Roman" w:hAnsi="Times New Roman"/>
          <w:b/>
          <w:i/>
          <w:sz w:val="24"/>
          <w:szCs w:val="24"/>
        </w:rPr>
        <w:t>Loi n°007 du 11 juillet 2002</w:t>
      </w:r>
      <w:r w:rsidRPr="00F077D5">
        <w:rPr>
          <w:rFonts w:ascii="Times New Roman" w:hAnsi="Times New Roman"/>
          <w:sz w:val="24"/>
          <w:szCs w:val="24"/>
        </w:rPr>
        <w:t xml:space="preserve"> portant Code Minier (CM), telle que modifiée et complétée par la </w:t>
      </w:r>
      <w:r w:rsidRPr="00F077D5">
        <w:rPr>
          <w:rFonts w:ascii="Times New Roman" w:hAnsi="Times New Roman"/>
          <w:b/>
          <w:i/>
          <w:sz w:val="24"/>
          <w:szCs w:val="24"/>
        </w:rPr>
        <w:t>Loi n°18/001 du 09 mars 2018</w:t>
      </w:r>
      <w:r w:rsidRPr="00F077D5">
        <w:rPr>
          <w:rFonts w:ascii="Times New Roman" w:hAnsi="Times New Roman"/>
          <w:sz w:val="24"/>
          <w:szCs w:val="24"/>
        </w:rPr>
        <w:t xml:space="preserve">. </w:t>
      </w:r>
    </w:p>
    <w:p w14:paraId="3C6A8BBE"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Cette loi est mise en application par le </w:t>
      </w:r>
      <w:r w:rsidRPr="00F077D5">
        <w:rPr>
          <w:rFonts w:ascii="Times New Roman" w:hAnsi="Times New Roman"/>
          <w:b/>
          <w:i/>
          <w:sz w:val="24"/>
          <w:szCs w:val="24"/>
        </w:rPr>
        <w:t>Décret n°038/2003 du 26 mars 2003</w:t>
      </w:r>
      <w:r w:rsidRPr="00F077D5">
        <w:rPr>
          <w:rFonts w:ascii="Times New Roman" w:hAnsi="Times New Roman"/>
          <w:sz w:val="24"/>
          <w:szCs w:val="24"/>
        </w:rPr>
        <w:t xml:space="preserve"> portant Règlement minier ainsi que par divers arrêtés ministériels et interministériels. Néanmoins, une Commission multipartite convoquée par le Ministre des Mines et composée des représentants du Gouvernement, des entreprises et des organisations de la Société civile a révisé le Décret n°038/2003 du 26 mars 2003 portant Règlement minier, et un projet de décret déposé sur la table du Premier Ministre pour signature attend d’être publié.</w:t>
      </w:r>
    </w:p>
    <w:p w14:paraId="5E7FD9CE"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Au regard de la mise en œuvre du processus ITIE en RDC, il y a lieu de mentionner une avancée remarquable en ce que le Code Minier intègre désormais la définition de la « </w:t>
      </w:r>
      <w:r w:rsidRPr="00F077D5">
        <w:rPr>
          <w:rFonts w:ascii="Times New Roman" w:hAnsi="Times New Roman"/>
          <w:b/>
          <w:sz w:val="24"/>
          <w:szCs w:val="24"/>
        </w:rPr>
        <w:t>Traçabilité</w:t>
      </w:r>
      <w:r w:rsidRPr="00F077D5">
        <w:rPr>
          <w:rFonts w:ascii="Times New Roman" w:hAnsi="Times New Roman"/>
          <w:sz w:val="24"/>
          <w:szCs w:val="24"/>
        </w:rPr>
        <w:t> » et celle de la « </w:t>
      </w:r>
      <w:r w:rsidRPr="00F077D5">
        <w:rPr>
          <w:rFonts w:ascii="Times New Roman" w:hAnsi="Times New Roman"/>
          <w:b/>
          <w:sz w:val="24"/>
          <w:szCs w:val="24"/>
        </w:rPr>
        <w:t>Transparence</w:t>
      </w:r>
      <w:r w:rsidRPr="00F077D5">
        <w:rPr>
          <w:rFonts w:ascii="Times New Roman" w:hAnsi="Times New Roman"/>
          <w:sz w:val="24"/>
          <w:szCs w:val="24"/>
        </w:rPr>
        <w:t xml:space="preserve"> ». Bien plus, il sanctionne d’une amende sévère toute entrave à la transparence et à la traçabilité dans l’industrie minière. </w:t>
      </w:r>
    </w:p>
    <w:p w14:paraId="69D38F3F"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En effet, il définit la traçabilité comme suit : </w:t>
      </w:r>
      <w:r w:rsidRPr="00F077D5">
        <w:rPr>
          <w:rFonts w:ascii="Times New Roman" w:hAnsi="Times New Roman"/>
          <w:b/>
          <w:i/>
          <w:sz w:val="24"/>
          <w:szCs w:val="24"/>
        </w:rPr>
        <w:t>« Mécanisme mis en place pour assurer le suivi des étapes de la filière de production minière et de flux financiers subséquents depuis le site d’extraction des produits miniers jusqu’à leur exportation en passant par leur détention, transport, commercialisation, traitement et/ou transformation »</w:t>
      </w:r>
      <w:r w:rsidRPr="00F077D5">
        <w:rPr>
          <w:rFonts w:ascii="Times New Roman" w:hAnsi="Times New Roman"/>
          <w:sz w:val="24"/>
          <w:szCs w:val="24"/>
        </w:rPr>
        <w:t xml:space="preserve"> (Article 1</w:t>
      </w:r>
      <w:r w:rsidRPr="00F077D5">
        <w:rPr>
          <w:rFonts w:ascii="Times New Roman" w:hAnsi="Times New Roman"/>
          <w:sz w:val="24"/>
          <w:szCs w:val="24"/>
          <w:vertAlign w:val="superscript"/>
        </w:rPr>
        <w:t>er</w:t>
      </w:r>
      <w:r w:rsidRPr="00F077D5">
        <w:rPr>
          <w:rFonts w:ascii="Times New Roman" w:hAnsi="Times New Roman"/>
          <w:sz w:val="24"/>
          <w:szCs w:val="24"/>
        </w:rPr>
        <w:t>, alinéa 53bis).</w:t>
      </w:r>
    </w:p>
    <w:p w14:paraId="742B54CD"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La définition qu’il donne à la transparence est la suivante : </w:t>
      </w:r>
      <w:r w:rsidRPr="00F077D5">
        <w:rPr>
          <w:rFonts w:ascii="Times New Roman" w:hAnsi="Times New Roman"/>
          <w:b/>
          <w:i/>
          <w:sz w:val="24"/>
          <w:szCs w:val="24"/>
        </w:rPr>
        <w:t xml:space="preserve">« Ensemble de règles, mécanismes et pratiques rendant obligatoires les déclarations et les publications, de la part de l’Etat et des entreprises extractives, en particulier celles de l’industrie minière, des revenus et paiements de tout   genre, comprenant, notamment les revenus des exploitations et des transactions minières, la publication des statistiques de production et de vente, la publication  des contrats et la divulgation des propriétaires réels des actifs miniers ainsi que les données sur l’allocation des ressources provenant du secteur minier. Elle s’étend également au respect des obligations de procédures d’acquisition et d’aliénation des droits miniers » </w:t>
      </w:r>
      <w:r w:rsidRPr="00F077D5">
        <w:rPr>
          <w:rFonts w:ascii="Times New Roman" w:hAnsi="Times New Roman"/>
          <w:sz w:val="24"/>
          <w:szCs w:val="24"/>
        </w:rPr>
        <w:t>(Article 1</w:t>
      </w:r>
      <w:r w:rsidRPr="00F077D5">
        <w:rPr>
          <w:rFonts w:ascii="Times New Roman" w:hAnsi="Times New Roman"/>
          <w:sz w:val="24"/>
          <w:szCs w:val="24"/>
          <w:vertAlign w:val="superscript"/>
        </w:rPr>
        <w:t>er</w:t>
      </w:r>
      <w:r w:rsidRPr="00F077D5">
        <w:rPr>
          <w:rFonts w:ascii="Times New Roman" w:hAnsi="Times New Roman"/>
          <w:sz w:val="24"/>
          <w:szCs w:val="24"/>
        </w:rPr>
        <w:t>, alinéa 54bis).</w:t>
      </w:r>
    </w:p>
    <w:p w14:paraId="3D613269" w14:textId="2203AB68"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En ce </w:t>
      </w:r>
      <w:r w:rsidR="0004223F">
        <w:rPr>
          <w:rFonts w:ascii="Times New Roman" w:hAnsi="Times New Roman"/>
          <w:sz w:val="24"/>
          <w:szCs w:val="24"/>
        </w:rPr>
        <w:t xml:space="preserve">qui </w:t>
      </w:r>
      <w:r w:rsidRPr="00F077D5">
        <w:rPr>
          <w:rFonts w:ascii="Times New Roman" w:hAnsi="Times New Roman"/>
          <w:sz w:val="24"/>
          <w:szCs w:val="24"/>
        </w:rPr>
        <w:t xml:space="preserve">concerne les entraves à la transparence et à la traçabilité dans l’industrie minière, l’article 311 quater du Code Minier dispose : « Est passible d’une amende dont le montant s’élève à l’équivalent en francs congolais de </w:t>
      </w:r>
      <w:r w:rsidRPr="00F077D5">
        <w:rPr>
          <w:rFonts w:ascii="Times New Roman" w:hAnsi="Times New Roman"/>
          <w:b/>
          <w:sz w:val="24"/>
          <w:szCs w:val="24"/>
        </w:rPr>
        <w:t>100.000</w:t>
      </w:r>
      <w:r w:rsidRPr="00F077D5">
        <w:rPr>
          <w:rFonts w:ascii="Times New Roman" w:hAnsi="Times New Roman"/>
          <w:sz w:val="24"/>
          <w:szCs w:val="24"/>
        </w:rPr>
        <w:t xml:space="preserve"> à </w:t>
      </w:r>
      <w:r w:rsidRPr="00F077D5">
        <w:rPr>
          <w:rFonts w:ascii="Times New Roman" w:hAnsi="Times New Roman"/>
          <w:b/>
          <w:sz w:val="24"/>
          <w:szCs w:val="24"/>
        </w:rPr>
        <w:t>1.000.000 USD</w:t>
      </w:r>
      <w:r w:rsidRPr="00F077D5">
        <w:rPr>
          <w:rFonts w:ascii="Times New Roman" w:hAnsi="Times New Roman"/>
          <w:sz w:val="24"/>
          <w:szCs w:val="24"/>
        </w:rPr>
        <w:t>, quiconque, par tout acte, tout accord, toute convention, tout arrangement ou tout autre fait, entrave à la transparence et à la traçabilité dans l’industrie minière ».Il importe de noter également qu’à sa publication, le Règlement minier apportera plus d’éléments d’intégration des principes et critères de l’ITIE dans la législation congolaise.</w:t>
      </w:r>
    </w:p>
    <w:p w14:paraId="54D7BC63"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t xml:space="preserve">Les dispositions du Code s’appliquent, dans leur intégralité et dans leur ensemble, aux opérations de recherches, d’exploitation industrielle, semi-industrielle et artisanale ainsi que de traitement, de stockage, de détention, de transport, de commercialisation et d’exportation des substances minérales. </w:t>
      </w:r>
    </w:p>
    <w:p w14:paraId="7362FE6C" w14:textId="77777777" w:rsidR="00207B98" w:rsidRPr="00F077D5" w:rsidRDefault="00207B98" w:rsidP="00F077D5">
      <w:pPr>
        <w:spacing w:line="276" w:lineRule="auto"/>
        <w:ind w:right="567"/>
        <w:jc w:val="both"/>
        <w:rPr>
          <w:rFonts w:ascii="Times New Roman" w:hAnsi="Times New Roman"/>
          <w:sz w:val="24"/>
          <w:szCs w:val="24"/>
        </w:rPr>
      </w:pPr>
      <w:r w:rsidRPr="00F077D5">
        <w:rPr>
          <w:rFonts w:ascii="Times New Roman" w:hAnsi="Times New Roman"/>
          <w:sz w:val="24"/>
          <w:szCs w:val="24"/>
        </w:rPr>
        <w:lastRenderedPageBreak/>
        <w:t xml:space="preserve">Les activités de transformation des substances minérales et des produits des carrières extraits ou traités, effectuées par une personne autre que le titulaire d’un droit minier ou de carrière d’exploitation, sont régies par la législation et la réglementation générale sur l’industrie. </w:t>
      </w:r>
    </w:p>
    <w:p w14:paraId="37C77AFB" w14:textId="77777777" w:rsidR="00207B98" w:rsidRPr="00F077D5" w:rsidRDefault="00207B98" w:rsidP="00F077D5">
      <w:pPr>
        <w:spacing w:line="240" w:lineRule="auto"/>
        <w:ind w:right="567"/>
        <w:jc w:val="both"/>
        <w:rPr>
          <w:rFonts w:ascii="Times New Roman" w:hAnsi="Times New Roman"/>
          <w:sz w:val="24"/>
          <w:szCs w:val="24"/>
        </w:rPr>
      </w:pPr>
      <w:r w:rsidRPr="00F077D5">
        <w:rPr>
          <w:rFonts w:ascii="Times New Roman" w:hAnsi="Times New Roman"/>
          <w:sz w:val="24"/>
          <w:szCs w:val="24"/>
        </w:rPr>
        <w:t xml:space="preserve">En plus du Code Minier, d'autres textes légaux et règlementaires contiennent des dispositions relatives au secteur minier. </w:t>
      </w:r>
    </w:p>
    <w:p w14:paraId="7AC5D1DC" w14:textId="77777777" w:rsidR="00207B98" w:rsidRPr="00F077D5" w:rsidRDefault="00207B98" w:rsidP="00F077D5">
      <w:pPr>
        <w:spacing w:line="240" w:lineRule="auto"/>
        <w:ind w:right="567"/>
        <w:jc w:val="both"/>
        <w:rPr>
          <w:rFonts w:ascii="Times New Roman" w:hAnsi="Times New Roman"/>
          <w:sz w:val="24"/>
          <w:szCs w:val="24"/>
        </w:rPr>
      </w:pPr>
      <w:r w:rsidRPr="00F077D5">
        <w:rPr>
          <w:rFonts w:ascii="Times New Roman" w:hAnsi="Times New Roman"/>
          <w:sz w:val="24"/>
          <w:szCs w:val="24"/>
        </w:rPr>
        <w:t>Les principaux sont :</w:t>
      </w:r>
    </w:p>
    <w:p w14:paraId="1210ED98"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Code des Impôts</w:t>
      </w:r>
      <w:r w:rsidRPr="00840E13">
        <w:rPr>
          <w:rFonts w:ascii="Times New Roman" w:hAnsi="Times New Roman"/>
        </w:rPr>
        <w:t xml:space="preserve"> ;</w:t>
      </w:r>
    </w:p>
    <w:p w14:paraId="2E779FA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Code des Douanes</w:t>
      </w:r>
      <w:r w:rsidRPr="00840E13">
        <w:rPr>
          <w:rFonts w:ascii="Times New Roman" w:hAnsi="Times New Roman"/>
        </w:rPr>
        <w:t xml:space="preserve"> ;</w:t>
      </w:r>
    </w:p>
    <w:p w14:paraId="3E35D0A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n°03/003 du 28 février 2013</w:t>
      </w:r>
      <w:r w:rsidRPr="00840E13">
        <w:rPr>
          <w:rFonts w:ascii="Times New Roman" w:hAnsi="Times New Roman"/>
        </w:rPr>
        <w:t xml:space="preserve"> fixant la nomenclature des actes générateurs des Recettes Administratives, Judiciaires, Domaniales et de Participations ainsi que leurs modalités de perception ;</w:t>
      </w:r>
    </w:p>
    <w:p w14:paraId="31921C2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b/>
          <w:i/>
        </w:rPr>
        <w:t xml:space="preserve">l’Ordonnance-Loi n° 10/001 du 20 août 2010 </w:t>
      </w:r>
      <w:r w:rsidRPr="00840E13">
        <w:rPr>
          <w:rFonts w:ascii="Times New Roman" w:hAnsi="Times New Roman"/>
        </w:rPr>
        <w:t>portant institution de la Taxe sur la Valeur Ajoutée, telle que modifiée et complétée par l’O.L. n°13/007 du 23/02/2013 ;</w:t>
      </w:r>
    </w:p>
    <w:p w14:paraId="4D4E4E8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n°11/009 du 09 juillet 2011</w:t>
      </w:r>
      <w:r w:rsidRPr="00840E13">
        <w:rPr>
          <w:rFonts w:ascii="Times New Roman" w:hAnsi="Times New Roman"/>
        </w:rPr>
        <w:t xml:space="preserve"> portant principes fondamentaux relatifs à la protection de l’environnement ;</w:t>
      </w:r>
    </w:p>
    <w:p w14:paraId="50271C0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n°08/007 du 07 juillet 2008</w:t>
      </w:r>
      <w:r w:rsidRPr="00840E13">
        <w:rPr>
          <w:rFonts w:ascii="Times New Roman" w:hAnsi="Times New Roman"/>
        </w:rPr>
        <w:t xml:space="preserve"> portant dispositions générales relatives à la transformation des entreprises publiques ;</w:t>
      </w:r>
    </w:p>
    <w:p w14:paraId="076C39D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n°08/008 du 07 juillet 2008</w:t>
      </w:r>
      <w:r w:rsidRPr="00840E13">
        <w:rPr>
          <w:rFonts w:ascii="Times New Roman" w:hAnsi="Times New Roman"/>
        </w:rPr>
        <w:t xml:space="preserve"> portant dispositions générales relatives au désengagement de l’Etat des entreprises du Portefeuille ;</w:t>
      </w:r>
    </w:p>
    <w:p w14:paraId="5DF32D57"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n°08/009 du 7 juillet 2008</w:t>
      </w:r>
      <w:r w:rsidRPr="00840E13">
        <w:rPr>
          <w:rFonts w:ascii="Times New Roman" w:hAnsi="Times New Roman"/>
        </w:rPr>
        <w:t xml:space="preserve"> portant dispositions générales applicables aux établissements publics ;</w:t>
      </w:r>
    </w:p>
    <w:p w14:paraId="551F4CB4"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n°08/010 du 7 juillet 2008</w:t>
      </w:r>
      <w:r w:rsidRPr="00840E13">
        <w:rPr>
          <w:rFonts w:ascii="Times New Roman" w:hAnsi="Times New Roman"/>
        </w:rPr>
        <w:t xml:space="preserve"> fixant les règles relatives à l’organisation et à la gestion du Portefeuille de l’Etat ;</w:t>
      </w:r>
    </w:p>
    <w:p w14:paraId="2CCE7706"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Décret n°13/003 du 15 janvier 2013</w:t>
      </w:r>
      <w:r w:rsidRPr="00840E13">
        <w:rPr>
          <w:rFonts w:ascii="Times New Roman" w:hAnsi="Times New Roman"/>
        </w:rPr>
        <w:t xml:space="preserve"> relatif aux conditions et modalités de cession des parts sociales ou actions de l'Etat aux personnes physiques ou morales de nationalité congolaise et/ou aux salariés ;</w:t>
      </w:r>
    </w:p>
    <w:p w14:paraId="07B8EEA9"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le </w:t>
      </w:r>
      <w:r w:rsidRPr="00840E13">
        <w:rPr>
          <w:rFonts w:ascii="Times New Roman" w:hAnsi="Times New Roman"/>
          <w:b/>
          <w:i/>
        </w:rPr>
        <w:t>Décret n°13/002 du 15 janvier 2013</w:t>
      </w:r>
      <w:r w:rsidRPr="00840E13">
        <w:rPr>
          <w:rFonts w:ascii="Times New Roman" w:hAnsi="Times New Roman"/>
        </w:rPr>
        <w:t xml:space="preserve"> portant organisation de la représentation de l'Etat actionnaire unique au sein de l'Assemblée Générale d'une entreprise publique transformée en société commerciale ;</w:t>
      </w:r>
    </w:p>
    <w:p w14:paraId="5CA875D3"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 11/011 du 13 juillet 2011</w:t>
      </w:r>
      <w:r w:rsidRPr="00840E13">
        <w:rPr>
          <w:rFonts w:ascii="Times New Roman" w:hAnsi="Times New Roman"/>
        </w:rPr>
        <w:t xml:space="preserve"> relative aux Finances Publiques ;</w:t>
      </w:r>
    </w:p>
    <w:p w14:paraId="45BD14D7"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n°08/012 du 31 juillet 2008</w:t>
      </w:r>
      <w:r w:rsidRPr="00840E13">
        <w:rPr>
          <w:rFonts w:ascii="Times New Roman" w:hAnsi="Times New Roman"/>
        </w:rPr>
        <w:t xml:space="preserve"> portant principes généraux sur la libre administration des Provinces et des Entités Territoriales Décentralisées ;</w:t>
      </w:r>
    </w:p>
    <w:p w14:paraId="01D5593F"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l’</w:t>
      </w:r>
      <w:r w:rsidRPr="00840E13">
        <w:rPr>
          <w:rFonts w:ascii="Times New Roman" w:hAnsi="Times New Roman"/>
          <w:b/>
          <w:i/>
        </w:rPr>
        <w:t>Ordonnance-loi  n° 13/001  du 23 février 2013</w:t>
      </w:r>
      <w:r w:rsidRPr="00840E13">
        <w:rPr>
          <w:rFonts w:ascii="Times New Roman" w:hAnsi="Times New Roman"/>
        </w:rPr>
        <w:t xml:space="preserve"> fixant la nomenclature des impôts, droits,  taxes et redevances  des Provinces et des Entités  Territoriales Décentralisées ainsi que leurs modalités  de répartition ;</w:t>
      </w:r>
    </w:p>
    <w:p w14:paraId="70CD70E5"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Règlementation du Change</w:t>
      </w:r>
      <w:r w:rsidRPr="00840E13">
        <w:rPr>
          <w:rFonts w:ascii="Times New Roman" w:hAnsi="Times New Roman"/>
        </w:rPr>
        <w:t xml:space="preserve"> en République Démocratique du Congo édictée par la Banque Centrale du Congo le 25 mars 2014 ;</w:t>
      </w:r>
    </w:p>
    <w:p w14:paraId="1470E513" w14:textId="77777777" w:rsidR="00207B98"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rPr>
        <w:t xml:space="preserve">la </w:t>
      </w:r>
      <w:r w:rsidRPr="00840E13">
        <w:rPr>
          <w:rFonts w:ascii="Times New Roman" w:hAnsi="Times New Roman"/>
          <w:b/>
          <w:i/>
        </w:rPr>
        <w:t>Loi n°13/005 du 11 février 2014</w:t>
      </w:r>
      <w:r w:rsidRPr="00840E13">
        <w:rPr>
          <w:rFonts w:ascii="Times New Roman" w:hAnsi="Times New Roman"/>
        </w:rPr>
        <w:t xml:space="preserve"> portant régime fiscal, douanier parafiscal des recettes non fiscales et de change applicables aux conventions de collaboration et aux projets de coopération ;</w:t>
      </w:r>
    </w:p>
    <w:p w14:paraId="4A10D940" w14:textId="77777777" w:rsidR="00207B98" w:rsidRPr="00840E13" w:rsidRDefault="00207B98" w:rsidP="00F077D5">
      <w:pPr>
        <w:spacing w:before="240" w:after="0" w:line="240" w:lineRule="auto"/>
        <w:ind w:left="567" w:right="567"/>
        <w:jc w:val="both"/>
        <w:rPr>
          <w:rFonts w:ascii="Times New Roman" w:hAnsi="Times New Roman"/>
        </w:rPr>
      </w:pPr>
      <w:r>
        <w:rPr>
          <w:rFonts w:ascii="Times New Roman" w:hAnsi="Times New Roman"/>
        </w:rPr>
        <w:t xml:space="preserve">Pour la Province de l’ex. Katanga : </w:t>
      </w:r>
    </w:p>
    <w:p w14:paraId="036B53CE" w14:textId="77777777" w:rsidR="00207B98" w:rsidRPr="00840E13" w:rsidRDefault="00207B98" w:rsidP="000738D3">
      <w:pPr>
        <w:numPr>
          <w:ilvl w:val="0"/>
          <w:numId w:val="17"/>
        </w:numPr>
        <w:spacing w:after="0" w:line="240" w:lineRule="auto"/>
        <w:ind w:left="567" w:right="567" w:hanging="141"/>
        <w:jc w:val="both"/>
        <w:rPr>
          <w:rFonts w:ascii="Times New Roman" w:hAnsi="Times New Roman"/>
        </w:rPr>
      </w:pPr>
      <w:r w:rsidRPr="00840E13">
        <w:rPr>
          <w:rFonts w:ascii="Times New Roman" w:hAnsi="Times New Roman"/>
          <w:b/>
          <w:i/>
        </w:rPr>
        <w:t>l’Edit n°0001 du 23 mai 2008</w:t>
      </w:r>
      <w:r w:rsidRPr="00840E13">
        <w:rPr>
          <w:rFonts w:ascii="Times New Roman" w:hAnsi="Times New Roman"/>
        </w:rPr>
        <w:t xml:space="preserve"> portant création de la taxe provinciale d’intervention en matière de réhabilitation des infrastructures urbaines de voirie et drainage ainsi que des routes d’intérêt provincial ;  </w:t>
      </w:r>
    </w:p>
    <w:p w14:paraId="477ABA5C" w14:textId="77777777" w:rsidR="00207B98" w:rsidRDefault="00207B98" w:rsidP="000738D3">
      <w:pPr>
        <w:numPr>
          <w:ilvl w:val="0"/>
          <w:numId w:val="17"/>
        </w:numPr>
        <w:spacing w:line="240" w:lineRule="auto"/>
        <w:ind w:left="567" w:right="567" w:hanging="141"/>
        <w:jc w:val="both"/>
        <w:rPr>
          <w:rFonts w:ascii="Times New Roman" w:hAnsi="Times New Roman"/>
        </w:rPr>
      </w:pPr>
      <w:r w:rsidRPr="00840E13">
        <w:rPr>
          <w:rFonts w:ascii="Times New Roman" w:hAnsi="Times New Roman"/>
        </w:rPr>
        <w:t>l’</w:t>
      </w:r>
      <w:r w:rsidRPr="00840E13">
        <w:rPr>
          <w:rFonts w:ascii="Times New Roman" w:hAnsi="Times New Roman"/>
          <w:b/>
          <w:i/>
        </w:rPr>
        <w:t>Edit n°003 du 16 novembre 2010</w:t>
      </w:r>
      <w:r w:rsidRPr="00840E13">
        <w:rPr>
          <w:rFonts w:ascii="Times New Roman" w:hAnsi="Times New Roman"/>
        </w:rPr>
        <w:t xml:space="preserve"> portant institution de la taxe incitative à la création des unités locales de transformation des concentrés</w:t>
      </w:r>
      <w:r>
        <w:rPr>
          <w:rFonts w:ascii="Times New Roman" w:hAnsi="Times New Roman"/>
        </w:rPr>
        <w:t> ;</w:t>
      </w:r>
    </w:p>
    <w:p w14:paraId="4A4C41EC" w14:textId="77777777" w:rsidR="00207B98" w:rsidRDefault="00207B98" w:rsidP="00F077D5">
      <w:pPr>
        <w:spacing w:after="0" w:line="240" w:lineRule="auto"/>
        <w:ind w:left="567" w:right="567"/>
        <w:jc w:val="both"/>
        <w:rPr>
          <w:rFonts w:ascii="Times New Roman" w:hAnsi="Times New Roman"/>
        </w:rPr>
      </w:pPr>
      <w:r>
        <w:rPr>
          <w:rFonts w:ascii="Times New Roman" w:hAnsi="Times New Roman"/>
        </w:rPr>
        <w:t>Pour la Province du Lualaba :</w:t>
      </w:r>
    </w:p>
    <w:p w14:paraId="6A89E727" w14:textId="77777777" w:rsidR="00207B98" w:rsidRPr="004D2E18" w:rsidRDefault="00207B98" w:rsidP="000738D3">
      <w:pPr>
        <w:numPr>
          <w:ilvl w:val="0"/>
          <w:numId w:val="17"/>
        </w:numPr>
        <w:spacing w:line="240" w:lineRule="auto"/>
        <w:ind w:left="567" w:right="567" w:hanging="141"/>
        <w:jc w:val="both"/>
        <w:rPr>
          <w:rFonts w:ascii="Times New Roman" w:hAnsi="Times New Roman"/>
        </w:rPr>
      </w:pPr>
      <w:r w:rsidRPr="004D2E18">
        <w:rPr>
          <w:rFonts w:ascii="Times New Roman" w:hAnsi="Times New Roman"/>
        </w:rPr>
        <w:t>l’</w:t>
      </w:r>
      <w:r w:rsidRPr="004D2E18">
        <w:rPr>
          <w:rFonts w:ascii="Times New Roman" w:hAnsi="Times New Roman"/>
          <w:b/>
          <w:i/>
        </w:rPr>
        <w:t>Edit N°002 du 7 juillet 2016</w:t>
      </w:r>
      <w:r w:rsidRPr="004D2E18">
        <w:rPr>
          <w:rFonts w:ascii="Times New Roman" w:hAnsi="Times New Roman"/>
        </w:rPr>
        <w:t xml:space="preserve"> portant voirie et drainage</w:t>
      </w:r>
      <w:r>
        <w:rPr>
          <w:rFonts w:ascii="Times New Roman" w:hAnsi="Times New Roman"/>
        </w:rPr>
        <w:t>.</w:t>
      </w:r>
      <w:r w:rsidRPr="004D2E18">
        <w:rPr>
          <w:rFonts w:ascii="Times New Roman" w:hAnsi="Times New Roman"/>
        </w:rPr>
        <w:t xml:space="preserve"> </w:t>
      </w:r>
      <w:r>
        <w:rPr>
          <w:rFonts w:ascii="Times New Roman" w:hAnsi="Times New Roman"/>
        </w:rPr>
        <w:t xml:space="preserve"> </w:t>
      </w:r>
    </w:p>
    <w:p w14:paraId="4775BD00" w14:textId="77777777" w:rsidR="00207B98" w:rsidRPr="006443D7" w:rsidRDefault="00207B98" w:rsidP="006443D7">
      <w:pPr>
        <w:pStyle w:val="Titre3"/>
        <w:rPr>
          <w:rFonts w:ascii="Times New Roman" w:hAnsi="Times New Roman" w:cs="Times New Roman"/>
          <w:sz w:val="24"/>
          <w:szCs w:val="24"/>
        </w:rPr>
      </w:pPr>
      <w:bookmarkStart w:id="75" w:name="_Toc515589775"/>
      <w:bookmarkStart w:id="76" w:name="_Toc515792938"/>
      <w:bookmarkStart w:id="77" w:name="_Toc515793177"/>
      <w:bookmarkStart w:id="78" w:name="_Toc518135490"/>
      <w:bookmarkStart w:id="79" w:name="_Toc518468061"/>
      <w:r w:rsidRPr="006443D7">
        <w:rPr>
          <w:rFonts w:ascii="Times New Roman" w:hAnsi="Times New Roman" w:cs="Times New Roman"/>
          <w:sz w:val="24"/>
          <w:szCs w:val="24"/>
        </w:rPr>
        <w:lastRenderedPageBreak/>
        <w:t>I.2.2. Régime fiscal, douanier et de change du secteur minier</w:t>
      </w:r>
      <w:bookmarkEnd w:id="75"/>
      <w:bookmarkEnd w:id="76"/>
      <w:bookmarkEnd w:id="77"/>
      <w:bookmarkEnd w:id="78"/>
      <w:bookmarkEnd w:id="79"/>
    </w:p>
    <w:p w14:paraId="0AE0902E" w14:textId="01D37E5D" w:rsidR="00207B98" w:rsidRPr="002C1F2C" w:rsidRDefault="00207B98" w:rsidP="00F077D5">
      <w:pPr>
        <w:spacing w:line="276" w:lineRule="auto"/>
        <w:ind w:right="567"/>
        <w:jc w:val="both"/>
        <w:rPr>
          <w:rFonts w:ascii="Times New Roman" w:hAnsi="Times New Roman"/>
          <w:sz w:val="24"/>
          <w:szCs w:val="24"/>
        </w:rPr>
      </w:pPr>
      <w:r w:rsidRPr="002C1F2C">
        <w:rPr>
          <w:rFonts w:ascii="Times New Roman" w:hAnsi="Times New Roman"/>
          <w:sz w:val="24"/>
          <w:szCs w:val="24"/>
        </w:rPr>
        <w:t xml:space="preserve">La </w:t>
      </w:r>
      <w:r w:rsidRPr="002C1F2C">
        <w:rPr>
          <w:rFonts w:ascii="Times New Roman" w:hAnsi="Times New Roman"/>
          <w:b/>
          <w:i/>
          <w:sz w:val="24"/>
          <w:szCs w:val="24"/>
        </w:rPr>
        <w:t>Loi n°007 du 11 juillet 2002</w:t>
      </w:r>
      <w:r w:rsidRPr="002C1F2C">
        <w:rPr>
          <w:rFonts w:ascii="Times New Roman" w:hAnsi="Times New Roman"/>
          <w:sz w:val="24"/>
          <w:szCs w:val="24"/>
        </w:rPr>
        <w:t xml:space="preserve"> portant Code Minier, telle que modifiée et complétée par la </w:t>
      </w:r>
      <w:r w:rsidRPr="002C1F2C">
        <w:rPr>
          <w:rFonts w:ascii="Times New Roman" w:hAnsi="Times New Roman"/>
          <w:b/>
          <w:i/>
          <w:sz w:val="24"/>
          <w:szCs w:val="24"/>
        </w:rPr>
        <w:t>Loi n°18/001 du 09 mars 2018</w:t>
      </w:r>
      <w:r w:rsidRPr="002C1F2C">
        <w:rPr>
          <w:rFonts w:ascii="Times New Roman" w:hAnsi="Times New Roman"/>
          <w:sz w:val="24"/>
          <w:szCs w:val="24"/>
        </w:rPr>
        <w:t xml:space="preserve"> prévoit pour les mines, </w:t>
      </w:r>
      <w:r w:rsidR="0004223F">
        <w:rPr>
          <w:rFonts w:ascii="Times New Roman" w:hAnsi="Times New Roman"/>
          <w:sz w:val="24"/>
          <w:szCs w:val="24"/>
        </w:rPr>
        <w:t xml:space="preserve">un </w:t>
      </w:r>
      <w:r w:rsidRPr="002C1F2C">
        <w:rPr>
          <w:rFonts w:ascii="Times New Roman" w:hAnsi="Times New Roman"/>
          <w:sz w:val="24"/>
          <w:szCs w:val="24"/>
        </w:rPr>
        <w:t>régime fiscal et douanier (Titre IX) et une Règlementation de change (Titre X).</w:t>
      </w:r>
    </w:p>
    <w:p w14:paraId="6407ECC1" w14:textId="77777777" w:rsidR="00207B98" w:rsidRPr="00F93418" w:rsidRDefault="00207B98" w:rsidP="00F077D5">
      <w:pPr>
        <w:spacing w:line="276" w:lineRule="auto"/>
        <w:ind w:right="567"/>
        <w:jc w:val="both"/>
        <w:rPr>
          <w:rFonts w:ascii="Times New Roman" w:hAnsi="Times New Roman"/>
          <w:sz w:val="24"/>
          <w:szCs w:val="24"/>
        </w:rPr>
      </w:pPr>
      <w:r w:rsidRPr="002C1F2C">
        <w:rPr>
          <w:rFonts w:ascii="Times New Roman" w:hAnsi="Times New Roman"/>
          <w:sz w:val="24"/>
          <w:szCs w:val="24"/>
        </w:rPr>
        <w:t>Au regard de l’</w:t>
      </w:r>
      <w:r w:rsidRPr="00052F7B">
        <w:rPr>
          <w:rFonts w:ascii="Times New Roman" w:hAnsi="Times New Roman"/>
          <w:b/>
          <w:sz w:val="24"/>
          <w:szCs w:val="24"/>
        </w:rPr>
        <w:t xml:space="preserve">article 220 </w:t>
      </w:r>
      <w:r w:rsidRPr="002C1F2C">
        <w:rPr>
          <w:rFonts w:ascii="Times New Roman" w:hAnsi="Times New Roman"/>
          <w:sz w:val="24"/>
          <w:szCs w:val="24"/>
        </w:rPr>
        <w:t xml:space="preserve">du Code Minier tel que modifié et complété par la Loi </w:t>
      </w:r>
      <w:r w:rsidRPr="00052F7B">
        <w:rPr>
          <w:rFonts w:ascii="Times New Roman" w:hAnsi="Times New Roman"/>
          <w:i/>
          <w:sz w:val="24"/>
          <w:szCs w:val="24"/>
        </w:rPr>
        <w:t>n°18/001 du 09 mars 2018</w:t>
      </w:r>
      <w:r w:rsidRPr="00052F7B">
        <w:rPr>
          <w:rFonts w:ascii="Times New Roman" w:hAnsi="Times New Roman"/>
          <w:sz w:val="24"/>
          <w:szCs w:val="24"/>
        </w:rPr>
        <w:t>, ce régime est exclusif et exhaustif, outre son caractère uniq</w:t>
      </w:r>
      <w:r w:rsidRPr="00F93418">
        <w:rPr>
          <w:rFonts w:ascii="Times New Roman" w:hAnsi="Times New Roman"/>
          <w:sz w:val="24"/>
          <w:szCs w:val="24"/>
        </w:rPr>
        <w:t>ue et son applicabilité à tous les opérateurs du secteur minier</w:t>
      </w:r>
      <w:r>
        <w:rPr>
          <w:rFonts w:ascii="Times New Roman" w:hAnsi="Times New Roman"/>
          <w:sz w:val="24"/>
          <w:szCs w:val="24"/>
        </w:rPr>
        <w:t>.</w:t>
      </w:r>
    </w:p>
    <w:p w14:paraId="1F12A339" w14:textId="77777777" w:rsidR="00207B98" w:rsidRPr="00F9341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Son </w:t>
      </w:r>
      <w:r w:rsidRPr="00052F7B">
        <w:rPr>
          <w:rFonts w:ascii="Times New Roman" w:hAnsi="Times New Roman"/>
          <w:b/>
          <w:i/>
          <w:sz w:val="24"/>
          <w:szCs w:val="24"/>
        </w:rPr>
        <w:t>caractère exhaustif</w:t>
      </w:r>
      <w:r w:rsidRPr="00F93418">
        <w:rPr>
          <w:rFonts w:ascii="Times New Roman" w:hAnsi="Times New Roman"/>
          <w:sz w:val="24"/>
          <w:szCs w:val="24"/>
        </w:rPr>
        <w:t xml:space="preserve"> découle de l’énumération limitative par le Code minier de tous les impôts, droits, taxes et redevances perçus par les Régies Financières et les Directions provinciales des recettes.</w:t>
      </w:r>
    </w:p>
    <w:p w14:paraId="290C85E5" w14:textId="77777777" w:rsidR="00207B9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Quant au </w:t>
      </w:r>
      <w:r w:rsidRPr="00052F7B">
        <w:rPr>
          <w:rFonts w:ascii="Times New Roman" w:hAnsi="Times New Roman"/>
          <w:b/>
          <w:i/>
          <w:sz w:val="24"/>
          <w:szCs w:val="24"/>
        </w:rPr>
        <w:t>caractère exclusif</w:t>
      </w:r>
      <w:r w:rsidRPr="00F93418">
        <w:rPr>
          <w:rFonts w:ascii="Times New Roman" w:hAnsi="Times New Roman"/>
          <w:sz w:val="24"/>
          <w:szCs w:val="24"/>
        </w:rPr>
        <w:t>, il convient de noter que seuls les impôts, taxes, droits, redevances et autres prélèvements parafiscaux perçus tant au profit du Gouvernement qu’à celui des provinces et des entités territoriales décentralisées prévus dans le Code Minier sont applicables au titulaire du droit minier, à l’exclusion de toutes les autres formes d’impositions présentes et à venir prévues dans d’autres textes législatifs et règlementaires. Néanmoins, le Premier ministre peut, par décret délibéré en Conseil des ministres, accorder un certain nombre des mesures incitatives à l’endroit de provinces  souffrant de déficit d’infrastructures pour booster leur essor économique à partir des ressources minières (Article 220 du Code Minier, tel que modifié et complété).</w:t>
      </w:r>
    </w:p>
    <w:p w14:paraId="607960E8" w14:textId="77777777" w:rsidR="00207B98" w:rsidRPr="003E67F7" w:rsidRDefault="00207B98" w:rsidP="00F077D5">
      <w:pPr>
        <w:spacing w:line="276" w:lineRule="auto"/>
        <w:ind w:right="567"/>
        <w:jc w:val="both"/>
        <w:rPr>
          <w:rFonts w:ascii="Times New Roman" w:hAnsi="Times New Roman"/>
          <w:sz w:val="24"/>
          <w:szCs w:val="24"/>
        </w:rPr>
      </w:pPr>
      <w:r w:rsidRPr="003E67F7">
        <w:rPr>
          <w:rFonts w:ascii="Times New Roman" w:hAnsi="Times New Roman"/>
          <w:sz w:val="24"/>
          <w:szCs w:val="24"/>
        </w:rPr>
        <w:t>Dans la pratique cependant, les provinces du Haut Katanga et du Lualaba ont dérogé au principe de l’exhaustivité et de l’exclusivité en instituant des taxes en l’absence d’un décret du Premier Ministre les autorisant à ce</w:t>
      </w:r>
      <w:r>
        <w:rPr>
          <w:rFonts w:ascii="Times New Roman" w:hAnsi="Times New Roman"/>
          <w:sz w:val="24"/>
          <w:szCs w:val="24"/>
        </w:rPr>
        <w:t>t</w:t>
      </w:r>
      <w:r w:rsidRPr="003E67F7">
        <w:rPr>
          <w:rFonts w:ascii="Times New Roman" w:hAnsi="Times New Roman"/>
          <w:sz w:val="24"/>
          <w:szCs w:val="24"/>
        </w:rPr>
        <w:t xml:space="preserve"> </w:t>
      </w:r>
      <w:r>
        <w:rPr>
          <w:rFonts w:ascii="Times New Roman" w:hAnsi="Times New Roman"/>
          <w:sz w:val="24"/>
          <w:szCs w:val="24"/>
        </w:rPr>
        <w:t>effet</w:t>
      </w:r>
      <w:r w:rsidRPr="003E67F7">
        <w:rPr>
          <w:rFonts w:ascii="Times New Roman" w:hAnsi="Times New Roman"/>
          <w:sz w:val="24"/>
          <w:szCs w:val="24"/>
        </w:rPr>
        <w:t>.</w:t>
      </w:r>
    </w:p>
    <w:p w14:paraId="2B877F65" w14:textId="77777777" w:rsidR="00207B98" w:rsidRPr="00F93418" w:rsidRDefault="00207B98" w:rsidP="00F077D5">
      <w:pPr>
        <w:spacing w:line="276" w:lineRule="auto"/>
        <w:ind w:right="567"/>
        <w:jc w:val="both"/>
        <w:rPr>
          <w:rFonts w:ascii="Times New Roman" w:hAnsi="Times New Roman"/>
          <w:sz w:val="24"/>
          <w:szCs w:val="24"/>
        </w:rPr>
      </w:pPr>
      <w:r w:rsidRPr="00F93418">
        <w:rPr>
          <w:rFonts w:ascii="Times New Roman" w:hAnsi="Times New Roman"/>
          <w:sz w:val="24"/>
          <w:szCs w:val="24"/>
        </w:rPr>
        <w:t xml:space="preserve">Le Code Minier assure la stabilité du régime fiscal et douanier </w:t>
      </w:r>
      <w:r w:rsidRPr="00F93418">
        <w:rPr>
          <w:rFonts w:ascii="Times New Roman" w:hAnsi="Times New Roman"/>
          <w:iCs/>
          <w:sz w:val="24"/>
          <w:szCs w:val="24"/>
        </w:rPr>
        <w:t>à l’ensemble des titulaires des droits</w:t>
      </w:r>
      <w:r w:rsidRPr="00F93418">
        <w:rPr>
          <w:rFonts w:ascii="Times New Roman" w:hAnsi="Times New Roman"/>
          <w:sz w:val="24"/>
          <w:szCs w:val="24"/>
        </w:rPr>
        <w:t xml:space="preserve"> </w:t>
      </w:r>
      <w:r w:rsidRPr="00F93418">
        <w:rPr>
          <w:rFonts w:ascii="Times New Roman" w:hAnsi="Times New Roman"/>
          <w:iCs/>
          <w:sz w:val="24"/>
          <w:szCs w:val="24"/>
        </w:rPr>
        <w:t xml:space="preserve">miniers valides à la date de son entrée en vigueur. </w:t>
      </w:r>
      <w:r w:rsidRPr="00F93418">
        <w:rPr>
          <w:rFonts w:ascii="Times New Roman" w:hAnsi="Times New Roman"/>
          <w:sz w:val="24"/>
          <w:szCs w:val="24"/>
        </w:rPr>
        <w:t xml:space="preserve"> La modification de ce régime n’est possible que lorsque ce Code fait lui-même l’objet de modifications par voie parlementaire. </w:t>
      </w:r>
      <w:r w:rsidRPr="00F93418">
        <w:rPr>
          <w:rFonts w:ascii="Times New Roman" w:hAnsi="Times New Roman"/>
          <w:iCs/>
          <w:sz w:val="24"/>
          <w:szCs w:val="24"/>
        </w:rPr>
        <w:t>En cas de modification législative dans les cinq ans à</w:t>
      </w:r>
      <w:r w:rsidRPr="00F93418">
        <w:rPr>
          <w:rFonts w:ascii="Times New Roman" w:hAnsi="Times New Roman"/>
          <w:sz w:val="24"/>
          <w:szCs w:val="24"/>
        </w:rPr>
        <w:t xml:space="preserve"> </w:t>
      </w:r>
      <w:r w:rsidRPr="00F93418">
        <w:rPr>
          <w:rFonts w:ascii="Times New Roman" w:hAnsi="Times New Roman"/>
          <w:iCs/>
          <w:sz w:val="24"/>
          <w:szCs w:val="24"/>
        </w:rPr>
        <w:t>dater de l’entrée en vigueur du Code, les</w:t>
      </w:r>
      <w:r w:rsidRPr="00F93418">
        <w:rPr>
          <w:rFonts w:ascii="Times New Roman" w:hAnsi="Times New Roman"/>
          <w:sz w:val="24"/>
          <w:szCs w:val="24"/>
        </w:rPr>
        <w:t xml:space="preserve"> </w:t>
      </w:r>
      <w:r w:rsidRPr="00F93418">
        <w:rPr>
          <w:rFonts w:ascii="Times New Roman" w:hAnsi="Times New Roman"/>
          <w:iCs/>
          <w:sz w:val="24"/>
          <w:szCs w:val="24"/>
        </w:rPr>
        <w:t>titulaires des droits miniers valides</w:t>
      </w:r>
      <w:r w:rsidRPr="00F93418">
        <w:rPr>
          <w:rFonts w:ascii="Times New Roman" w:hAnsi="Times New Roman"/>
          <w:sz w:val="24"/>
          <w:szCs w:val="24"/>
        </w:rPr>
        <w:t xml:space="preserve"> </w:t>
      </w:r>
      <w:r w:rsidRPr="00F93418">
        <w:rPr>
          <w:rFonts w:ascii="Times New Roman" w:hAnsi="Times New Roman"/>
          <w:iCs/>
          <w:sz w:val="24"/>
          <w:szCs w:val="24"/>
        </w:rPr>
        <w:t>bénéficient de la garantie de stabilité du régime</w:t>
      </w:r>
      <w:r w:rsidRPr="00F93418">
        <w:rPr>
          <w:rFonts w:ascii="Times New Roman" w:hAnsi="Times New Roman"/>
          <w:sz w:val="24"/>
          <w:szCs w:val="24"/>
        </w:rPr>
        <w:t xml:space="preserve"> </w:t>
      </w:r>
      <w:r w:rsidRPr="00F93418">
        <w:rPr>
          <w:rFonts w:ascii="Times New Roman" w:hAnsi="Times New Roman"/>
          <w:iCs/>
          <w:sz w:val="24"/>
          <w:szCs w:val="24"/>
        </w:rPr>
        <w:t>fiscal, douanier et de change prévu par le Code</w:t>
      </w:r>
      <w:r>
        <w:rPr>
          <w:rFonts w:ascii="Times New Roman" w:hAnsi="Times New Roman"/>
          <w:iCs/>
          <w:sz w:val="24"/>
          <w:szCs w:val="24"/>
        </w:rPr>
        <w:t xml:space="preserve"> (Article 276, alinéa 2 du Code Minier tel que modifié et complété)</w:t>
      </w:r>
      <w:r w:rsidRPr="00F93418">
        <w:rPr>
          <w:rFonts w:ascii="Times New Roman" w:hAnsi="Times New Roman"/>
          <w:iCs/>
          <w:sz w:val="24"/>
          <w:szCs w:val="24"/>
        </w:rPr>
        <w:t xml:space="preserve">.  </w:t>
      </w:r>
    </w:p>
    <w:p w14:paraId="082F1ABD" w14:textId="77777777" w:rsidR="00207B98" w:rsidRDefault="00207B98" w:rsidP="00F077D5">
      <w:pPr>
        <w:spacing w:after="0" w:line="276" w:lineRule="auto"/>
        <w:ind w:right="567"/>
        <w:jc w:val="both"/>
        <w:rPr>
          <w:rFonts w:ascii="Times New Roman" w:hAnsi="Times New Roman"/>
          <w:sz w:val="24"/>
          <w:szCs w:val="24"/>
        </w:rPr>
      </w:pPr>
      <w:r w:rsidRPr="00F93418">
        <w:rPr>
          <w:rFonts w:ascii="Times New Roman" w:hAnsi="Times New Roman"/>
          <w:sz w:val="24"/>
          <w:szCs w:val="24"/>
        </w:rPr>
        <w:t>Il convient de signaler qu’il n’y a plus survivance des conventions minières, car toutes celles qui étaient encore en vigueur sont désormais régies par les dispositions du Code Minier tel que modifié et complété par la Loi n°18/001 du 09 mars 2018 (Article 340</w:t>
      </w:r>
      <w:r>
        <w:rPr>
          <w:rFonts w:ascii="Times New Roman" w:hAnsi="Times New Roman"/>
          <w:sz w:val="24"/>
          <w:szCs w:val="24"/>
        </w:rPr>
        <w:t xml:space="preserve"> </w:t>
      </w:r>
      <w:r>
        <w:rPr>
          <w:rFonts w:ascii="Times New Roman" w:hAnsi="Times New Roman"/>
          <w:iCs/>
          <w:sz w:val="24"/>
          <w:szCs w:val="24"/>
        </w:rPr>
        <w:t>du Code Minier tel que modifié et complété</w:t>
      </w:r>
      <w:r w:rsidRPr="00F93418">
        <w:rPr>
          <w:rFonts w:ascii="Times New Roman" w:hAnsi="Times New Roman"/>
          <w:sz w:val="24"/>
          <w:szCs w:val="24"/>
        </w:rPr>
        <w:t>).</w:t>
      </w:r>
    </w:p>
    <w:p w14:paraId="142AD5B5" w14:textId="77777777" w:rsidR="0063635F" w:rsidRDefault="00207B98" w:rsidP="00F077D5">
      <w:pPr>
        <w:spacing w:before="240" w:line="276" w:lineRule="auto"/>
        <w:ind w:right="567"/>
        <w:jc w:val="both"/>
        <w:rPr>
          <w:rFonts w:ascii="Times New Roman" w:hAnsi="Times New Roman"/>
          <w:iCs/>
          <w:sz w:val="24"/>
          <w:szCs w:val="24"/>
        </w:rPr>
      </w:pPr>
      <w:r w:rsidRPr="002272E7">
        <w:rPr>
          <w:rFonts w:ascii="Times New Roman" w:hAnsi="Times New Roman"/>
          <w:iCs/>
          <w:sz w:val="24"/>
          <w:szCs w:val="24"/>
        </w:rPr>
        <w:t xml:space="preserve">En effet, cet article 340 traite de la </w:t>
      </w:r>
      <w:r w:rsidRPr="002272E7">
        <w:rPr>
          <w:rFonts w:ascii="Times New Roman" w:hAnsi="Times New Roman"/>
          <w:b/>
          <w:iCs/>
          <w:sz w:val="24"/>
          <w:szCs w:val="24"/>
        </w:rPr>
        <w:t>validité des conventions minières</w:t>
      </w:r>
      <w:r w:rsidRPr="002272E7">
        <w:rPr>
          <w:rFonts w:ascii="Times New Roman" w:hAnsi="Times New Roman"/>
          <w:iCs/>
          <w:sz w:val="24"/>
          <w:szCs w:val="24"/>
        </w:rPr>
        <w:t xml:space="preserve"> et est ainsi libellé : </w:t>
      </w:r>
      <w:r w:rsidRPr="002272E7">
        <w:rPr>
          <w:rFonts w:ascii="Times New Roman" w:hAnsi="Times New Roman"/>
          <w:b/>
          <w:i/>
          <w:iCs/>
          <w:sz w:val="24"/>
          <w:szCs w:val="24"/>
        </w:rPr>
        <w:t>« Toutes les conventions minières en vigueur à la promulgation de la présente loi sont régies par les dispositions du présent Code »</w:t>
      </w:r>
      <w:r>
        <w:rPr>
          <w:rFonts w:ascii="Times New Roman" w:hAnsi="Times New Roman"/>
          <w:iCs/>
          <w:sz w:val="24"/>
          <w:szCs w:val="24"/>
        </w:rPr>
        <w:t>.</w:t>
      </w:r>
    </w:p>
    <w:p w14:paraId="59BF0C47" w14:textId="77777777" w:rsidR="00207B98" w:rsidRPr="00F93418" w:rsidRDefault="00207B98" w:rsidP="00F077D5">
      <w:pPr>
        <w:spacing w:line="240" w:lineRule="auto"/>
        <w:ind w:right="567"/>
        <w:jc w:val="both"/>
        <w:rPr>
          <w:rFonts w:ascii="Times New Roman" w:hAnsi="Times New Roman"/>
          <w:sz w:val="24"/>
          <w:szCs w:val="24"/>
        </w:rPr>
      </w:pPr>
      <w:r w:rsidRPr="00F93418">
        <w:rPr>
          <w:rFonts w:ascii="Times New Roman" w:hAnsi="Times New Roman"/>
          <w:sz w:val="24"/>
          <w:szCs w:val="24"/>
        </w:rPr>
        <w:t>Le régime fiscal, douanier et de change prévu par le Code Minier est constitué, entre autres :</w:t>
      </w:r>
    </w:p>
    <w:p w14:paraId="1146ED1E" w14:textId="77777777" w:rsidR="00207B98" w:rsidRPr="00840E13"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iCs/>
        </w:rPr>
      </w:pPr>
      <w:r w:rsidRPr="00840E13">
        <w:rPr>
          <w:rFonts w:ascii="Times New Roman" w:hAnsi="Times New Roman" w:cs="Times New Roman"/>
          <w:b/>
          <w:iCs/>
        </w:rPr>
        <w:lastRenderedPageBreak/>
        <w:t>des impôts, taxes, droits</w:t>
      </w:r>
      <w:r>
        <w:rPr>
          <w:rFonts w:ascii="Times New Roman" w:hAnsi="Times New Roman" w:cs="Times New Roman"/>
          <w:b/>
          <w:iCs/>
        </w:rPr>
        <w:t>,</w:t>
      </w:r>
      <w:r w:rsidRPr="00840E13">
        <w:rPr>
          <w:rFonts w:ascii="Times New Roman" w:hAnsi="Times New Roman" w:cs="Times New Roman"/>
          <w:b/>
          <w:iCs/>
        </w:rPr>
        <w:t xml:space="preserve"> redevances et autres prélèvements parafiscaux à percevoir au profit du Pouvoir central suivant les modalités qu’il précise (Article 220 bis, a)</w:t>
      </w:r>
      <w:r w:rsidRPr="00840E13">
        <w:rPr>
          <w:rFonts w:ascii="Times New Roman" w:hAnsi="Times New Roman" w:cs="Times New Roman"/>
          <w:iCs/>
        </w:rPr>
        <w:t xml:space="preserve"> :</w:t>
      </w:r>
    </w:p>
    <w:p w14:paraId="69034BE6"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impôt sur les bénéfices et profits ;</w:t>
      </w:r>
    </w:p>
    <w:p w14:paraId="3E8392A4"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 xml:space="preserve">impôt professionnel sur les prestations de </w:t>
      </w:r>
      <w:r w:rsidRPr="00840E13">
        <w:rPr>
          <w:rFonts w:ascii="Times New Roman" w:hAnsi="Times New Roman" w:cs="Times New Roman"/>
        </w:rPr>
        <w:t xml:space="preserve"> </w:t>
      </w:r>
      <w:r w:rsidRPr="00840E13">
        <w:rPr>
          <w:rFonts w:ascii="Times New Roman" w:hAnsi="Times New Roman" w:cs="Times New Roman"/>
          <w:i/>
          <w:iCs/>
        </w:rPr>
        <w:t>services rendus par des personnes</w:t>
      </w:r>
      <w:r w:rsidRPr="00840E13">
        <w:rPr>
          <w:rFonts w:ascii="Times New Roman" w:hAnsi="Times New Roman" w:cs="Times New Roman"/>
        </w:rPr>
        <w:t xml:space="preserve"> </w:t>
      </w:r>
      <w:r w:rsidRPr="00840E13">
        <w:rPr>
          <w:rFonts w:ascii="Times New Roman" w:hAnsi="Times New Roman" w:cs="Times New Roman"/>
          <w:i/>
          <w:iCs/>
        </w:rPr>
        <w:t>physiques ou morales non établies en</w:t>
      </w:r>
      <w:r w:rsidRPr="00840E13">
        <w:rPr>
          <w:rFonts w:ascii="Times New Roman" w:hAnsi="Times New Roman" w:cs="Times New Roman"/>
        </w:rPr>
        <w:t xml:space="preserve"> </w:t>
      </w:r>
      <w:r w:rsidRPr="00840E13">
        <w:rPr>
          <w:rFonts w:ascii="Times New Roman" w:hAnsi="Times New Roman" w:cs="Times New Roman"/>
          <w:i/>
          <w:iCs/>
        </w:rPr>
        <w:t xml:space="preserve">République Démocratique du Congo ; </w:t>
      </w:r>
    </w:p>
    <w:p w14:paraId="589D807B"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impôt sur les revenus des capitaux mobiliers ou impôt mobilier ; </w:t>
      </w:r>
    </w:p>
    <w:p w14:paraId="2D56E5E5"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l’impôt professionnel sur les rémunérations ;</w:t>
      </w:r>
    </w:p>
    <w:p w14:paraId="79BE5BA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l’impôt exceptionnel sur les rémunérations des expatriés ;</w:t>
      </w:r>
    </w:p>
    <w:p w14:paraId="16CF113A"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d’entrée ;</w:t>
      </w:r>
    </w:p>
    <w:p w14:paraId="20D4A5C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d’accises ;</w:t>
      </w:r>
    </w:p>
    <w:p w14:paraId="18E8969E"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 proportionnel pour approbation et enregistrement des hypothèques;</w:t>
      </w:r>
    </w:p>
    <w:p w14:paraId="2DE6DE47"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droit proportionnel pour approbation et enregistrement des cessions ; </w:t>
      </w:r>
    </w:p>
    <w:p w14:paraId="0CEA0A16"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droit proportionnel pour approbation et enregistrement d’amodiation, de contrat d’option et de transmission ; </w:t>
      </w:r>
    </w:p>
    <w:p w14:paraId="09919BA1"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superficiaires annuels par carré ;</w:t>
      </w:r>
    </w:p>
    <w:p w14:paraId="320C145B"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droits proportionnels pour la cession des parts et actions sociales ;</w:t>
      </w:r>
    </w:p>
    <w:p w14:paraId="1475A8A0"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redevance minière ;</w:t>
      </w:r>
    </w:p>
    <w:p w14:paraId="00D2B322"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redevance sur les carburants terrestres et lubrifiants ;  </w:t>
      </w:r>
    </w:p>
    <w:p w14:paraId="2E2ECAE3"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bonus de signature ;</w:t>
      </w:r>
    </w:p>
    <w:p w14:paraId="542A2E65" w14:textId="77777777" w:rsidR="00207B98" w:rsidRPr="00840E13" w:rsidRDefault="00207B98" w:rsidP="000738D3">
      <w:pPr>
        <w:pStyle w:val="Paragraphedeliste"/>
        <w:numPr>
          <w:ilvl w:val="0"/>
          <w:numId w:val="20"/>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pas de porte.</w:t>
      </w:r>
    </w:p>
    <w:p w14:paraId="7142CC6A" w14:textId="77777777" w:rsidR="00207B98" w:rsidRPr="00840E13" w:rsidRDefault="00207B98" w:rsidP="00207B98">
      <w:pPr>
        <w:spacing w:after="0" w:line="240" w:lineRule="auto"/>
        <w:ind w:left="1778" w:right="567"/>
        <w:rPr>
          <w:rFonts w:ascii="Times New Roman" w:hAnsi="Times New Roman"/>
          <w:sz w:val="10"/>
          <w:szCs w:val="10"/>
        </w:rPr>
      </w:pPr>
    </w:p>
    <w:p w14:paraId="2AA9006F"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t>des impôts, taxes, droits et redevances à percevoir suivant les modalités du droit commun (Article 220 bis, b)</w:t>
      </w:r>
      <w:r w:rsidRPr="003476DE">
        <w:rPr>
          <w:rFonts w:ascii="Times New Roman" w:hAnsi="Times New Roman" w:cs="Times New Roman"/>
          <w:b/>
          <w:iCs/>
        </w:rPr>
        <w:t xml:space="preserve"> : </w:t>
      </w:r>
    </w:p>
    <w:p w14:paraId="30827AF7"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sur la Valeur Ajoutée, en sigle TVA ;</w:t>
      </w:r>
    </w:p>
    <w:p w14:paraId="18B42B00"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taxe sur l’autorisation de minage temporaire ;</w:t>
      </w:r>
    </w:p>
    <w:p w14:paraId="52E26D99"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taxe sur les exportations des échantillons destinés aux analyses et essais industriels</w:t>
      </w:r>
      <w:r w:rsidRPr="00840E13">
        <w:rPr>
          <w:rFonts w:ascii="Times New Roman" w:hAnsi="Times New Roman" w:cs="Times New Roman"/>
        </w:rPr>
        <w:t xml:space="preserve"> </w:t>
      </w:r>
      <w:r w:rsidRPr="00840E13">
        <w:rPr>
          <w:rFonts w:ascii="Times New Roman" w:hAnsi="Times New Roman" w:cs="Times New Roman"/>
          <w:i/>
          <w:iCs/>
        </w:rPr>
        <w:t>lorsque ceux-ci sont exportés en violation</w:t>
      </w:r>
      <w:r w:rsidRPr="00840E13">
        <w:rPr>
          <w:rFonts w:ascii="Times New Roman" w:hAnsi="Times New Roman" w:cs="Times New Roman"/>
        </w:rPr>
        <w:t xml:space="preserve"> </w:t>
      </w:r>
      <w:r w:rsidRPr="00840E13">
        <w:rPr>
          <w:rFonts w:ascii="Times New Roman" w:hAnsi="Times New Roman" w:cs="Times New Roman"/>
          <w:i/>
          <w:iCs/>
        </w:rPr>
        <w:t>de l’article 50 alinéa 3 du Code minier,</w:t>
      </w:r>
      <w:r w:rsidRPr="00840E13">
        <w:rPr>
          <w:rFonts w:ascii="Times New Roman" w:hAnsi="Times New Roman" w:cs="Times New Roman"/>
        </w:rPr>
        <w:t xml:space="preserve"> </w:t>
      </w:r>
      <w:r w:rsidRPr="00840E13">
        <w:rPr>
          <w:rFonts w:ascii="Times New Roman" w:hAnsi="Times New Roman" w:cs="Times New Roman"/>
          <w:i/>
          <w:iCs/>
        </w:rPr>
        <w:t>vendus aux tiers au profit ou par le fait du</w:t>
      </w:r>
      <w:r w:rsidRPr="00840E13">
        <w:rPr>
          <w:rFonts w:ascii="Times New Roman" w:hAnsi="Times New Roman" w:cs="Times New Roman"/>
        </w:rPr>
        <w:t xml:space="preserve"> </w:t>
      </w:r>
      <w:r w:rsidRPr="00840E13">
        <w:rPr>
          <w:rFonts w:ascii="Times New Roman" w:hAnsi="Times New Roman" w:cs="Times New Roman"/>
          <w:i/>
          <w:iCs/>
        </w:rPr>
        <w:t>titulaire avant ou après analyse ou essai, et</w:t>
      </w:r>
      <w:r w:rsidRPr="00840E13">
        <w:rPr>
          <w:rFonts w:ascii="Times New Roman" w:hAnsi="Times New Roman" w:cs="Times New Roman"/>
        </w:rPr>
        <w:t xml:space="preserve"> </w:t>
      </w:r>
      <w:r w:rsidRPr="00840E13">
        <w:rPr>
          <w:rFonts w:ascii="Times New Roman" w:hAnsi="Times New Roman" w:cs="Times New Roman"/>
          <w:i/>
          <w:iCs/>
        </w:rPr>
        <w:t xml:space="preserve">enfin en cas d’exportation qui revêt un </w:t>
      </w:r>
      <w:r w:rsidRPr="00840E13">
        <w:rPr>
          <w:rFonts w:ascii="Times New Roman" w:hAnsi="Times New Roman" w:cs="Times New Roman"/>
        </w:rPr>
        <w:t xml:space="preserve"> </w:t>
      </w:r>
      <w:r w:rsidRPr="00840E13">
        <w:rPr>
          <w:rFonts w:ascii="Times New Roman" w:hAnsi="Times New Roman" w:cs="Times New Roman"/>
          <w:i/>
          <w:iCs/>
        </w:rPr>
        <w:t xml:space="preserve">caractère commercial ; </w:t>
      </w:r>
    </w:p>
    <w:p w14:paraId="5393752D"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 xml:space="preserve">taxe d’implantation et taxe rémunératoire annuelle de l’environnement ; </w:t>
      </w:r>
    </w:p>
    <w:p w14:paraId="5B031D15"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de déboisement ;</w:t>
      </w:r>
    </w:p>
    <w:p w14:paraId="217F916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 xml:space="preserve">droit d’octroi de la carte de travail pour étranger ; </w:t>
      </w:r>
    </w:p>
    <w:p w14:paraId="35F945E0"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taxes sur la télécommunication ;</w:t>
      </w:r>
    </w:p>
    <w:p w14:paraId="36FA8415"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taxe d’agrément des dépôts des explosifs ;</w:t>
      </w:r>
    </w:p>
    <w:p w14:paraId="43A9EE1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droit d’enregistrement des dragues ;</w:t>
      </w:r>
    </w:p>
    <w:p w14:paraId="691F1D93"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rPr>
      </w:pPr>
      <w:r w:rsidRPr="00840E13">
        <w:rPr>
          <w:rFonts w:ascii="Times New Roman" w:hAnsi="Times New Roman" w:cs="Times New Roman"/>
          <w:i/>
          <w:iCs/>
        </w:rPr>
        <w:t>redevance annuelle et caution pour les entités de traitement de toutes les</w:t>
      </w:r>
      <w:r w:rsidRPr="00840E13">
        <w:rPr>
          <w:rFonts w:ascii="Times New Roman" w:hAnsi="Times New Roman" w:cs="Times New Roman"/>
        </w:rPr>
        <w:t xml:space="preserve"> </w:t>
      </w:r>
      <w:r w:rsidRPr="00840E13">
        <w:rPr>
          <w:rFonts w:ascii="Times New Roman" w:hAnsi="Times New Roman" w:cs="Times New Roman"/>
          <w:i/>
          <w:iCs/>
        </w:rPr>
        <w:t xml:space="preserve">catégories et tailleries ; </w:t>
      </w:r>
    </w:p>
    <w:p w14:paraId="69BE85F6" w14:textId="77777777" w:rsidR="00207B98" w:rsidRPr="00840E13" w:rsidRDefault="00207B98" w:rsidP="000738D3">
      <w:pPr>
        <w:pStyle w:val="Paragraphedeliste"/>
        <w:numPr>
          <w:ilvl w:val="0"/>
          <w:numId w:val="21"/>
        </w:numPr>
        <w:autoSpaceDE w:val="0"/>
        <w:autoSpaceDN w:val="0"/>
        <w:adjustRightInd w:val="0"/>
        <w:spacing w:after="0" w:line="240" w:lineRule="auto"/>
        <w:ind w:left="1418" w:hanging="348"/>
        <w:rPr>
          <w:rFonts w:ascii="Times New Roman" w:hAnsi="Times New Roman" w:cs="Times New Roman"/>
          <w:i/>
          <w:iCs/>
        </w:rPr>
      </w:pPr>
      <w:r w:rsidRPr="00840E13">
        <w:rPr>
          <w:rFonts w:ascii="Times New Roman" w:hAnsi="Times New Roman" w:cs="Times New Roman"/>
          <w:i/>
          <w:iCs/>
        </w:rPr>
        <w:t>agrément de boutefeux.</w:t>
      </w:r>
    </w:p>
    <w:p w14:paraId="4D262E58" w14:textId="77777777" w:rsidR="00207B98" w:rsidRPr="00840E13" w:rsidRDefault="00207B98" w:rsidP="00207B98">
      <w:pPr>
        <w:spacing w:after="0" w:line="240" w:lineRule="auto"/>
        <w:ind w:left="1778" w:right="567"/>
        <w:rPr>
          <w:rFonts w:ascii="Times New Roman" w:hAnsi="Times New Roman"/>
          <w:b/>
          <w:sz w:val="10"/>
          <w:szCs w:val="10"/>
        </w:rPr>
      </w:pPr>
    </w:p>
    <w:p w14:paraId="4CCCC919"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t>des impôts et taxes d’intérêt commun, à percevoir au profit des provinces et autres entités décentralisées (Article 220 ter)</w:t>
      </w:r>
      <w:r w:rsidRPr="003476DE">
        <w:rPr>
          <w:rFonts w:ascii="Times New Roman" w:hAnsi="Times New Roman" w:cs="Times New Roman"/>
          <w:b/>
          <w:iCs/>
        </w:rPr>
        <w:t xml:space="preserve"> :</w:t>
      </w:r>
    </w:p>
    <w:p w14:paraId="674BA9D5"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rPr>
      </w:pPr>
      <w:r w:rsidRPr="00840E13">
        <w:rPr>
          <w:rFonts w:ascii="Times New Roman" w:hAnsi="Times New Roman" w:cs="Times New Roman"/>
          <w:i/>
          <w:iCs/>
        </w:rPr>
        <w:t xml:space="preserve">impôt foncier ; </w:t>
      </w:r>
    </w:p>
    <w:p w14:paraId="5CBF43D8"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impôt sur les véhicules ;</w:t>
      </w:r>
    </w:p>
    <w:p w14:paraId="309A8BCA"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rPr>
      </w:pPr>
      <w:r w:rsidRPr="00840E13">
        <w:rPr>
          <w:rFonts w:ascii="Times New Roman" w:hAnsi="Times New Roman" w:cs="Times New Roman"/>
          <w:i/>
          <w:iCs/>
        </w:rPr>
        <w:t>impôt sur les revenus locatifs.</w:t>
      </w:r>
    </w:p>
    <w:p w14:paraId="33F18173" w14:textId="77777777" w:rsidR="00207B98" w:rsidRPr="00840E13"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la taxe spéciale de circulation routière ;</w:t>
      </w:r>
    </w:p>
    <w:p w14:paraId="52FFF40A" w14:textId="636B1551" w:rsidR="0063635F" w:rsidRDefault="00207B98" w:rsidP="000738D3">
      <w:pPr>
        <w:pStyle w:val="Paragraphedeliste"/>
        <w:numPr>
          <w:ilvl w:val="1"/>
          <w:numId w:val="22"/>
        </w:numPr>
        <w:autoSpaceDE w:val="0"/>
        <w:autoSpaceDN w:val="0"/>
        <w:adjustRightInd w:val="0"/>
        <w:spacing w:after="0" w:line="240" w:lineRule="auto"/>
        <w:ind w:left="1418" w:hanging="283"/>
        <w:rPr>
          <w:rFonts w:ascii="Times New Roman" w:hAnsi="Times New Roman" w:cs="Times New Roman"/>
          <w:i/>
          <w:iCs/>
        </w:rPr>
      </w:pPr>
      <w:r w:rsidRPr="00840E13">
        <w:rPr>
          <w:rFonts w:ascii="Times New Roman" w:hAnsi="Times New Roman" w:cs="Times New Roman"/>
          <w:i/>
          <w:iCs/>
        </w:rPr>
        <w:t xml:space="preserve">la taxe de superficie sur les concessions minières. </w:t>
      </w:r>
    </w:p>
    <w:p w14:paraId="1E1DC0CF" w14:textId="77777777" w:rsidR="0063635F" w:rsidRDefault="0063635F">
      <w:pPr>
        <w:rPr>
          <w:rFonts w:ascii="Times New Roman" w:eastAsiaTheme="minorHAnsi" w:hAnsi="Times New Roman"/>
          <w:i/>
          <w:iCs/>
        </w:rPr>
      </w:pPr>
      <w:r>
        <w:rPr>
          <w:rFonts w:ascii="Times New Roman" w:hAnsi="Times New Roman"/>
          <w:i/>
          <w:iCs/>
        </w:rPr>
        <w:br w:type="page"/>
      </w:r>
    </w:p>
    <w:p w14:paraId="4042069D" w14:textId="77777777" w:rsidR="00207B98" w:rsidRPr="003476DE" w:rsidRDefault="00207B98" w:rsidP="000738D3">
      <w:pPr>
        <w:pStyle w:val="Paragraphedeliste"/>
        <w:numPr>
          <w:ilvl w:val="0"/>
          <w:numId w:val="19"/>
        </w:numPr>
        <w:autoSpaceDE w:val="0"/>
        <w:autoSpaceDN w:val="0"/>
        <w:adjustRightInd w:val="0"/>
        <w:spacing w:after="0" w:line="240" w:lineRule="auto"/>
        <w:ind w:left="567" w:right="6" w:hanging="283"/>
        <w:jc w:val="both"/>
        <w:rPr>
          <w:rFonts w:ascii="Times New Roman" w:hAnsi="Times New Roman" w:cs="Times New Roman"/>
          <w:b/>
          <w:iCs/>
        </w:rPr>
      </w:pPr>
      <w:r w:rsidRPr="00840E13">
        <w:rPr>
          <w:rFonts w:ascii="Times New Roman" w:hAnsi="Times New Roman" w:cs="Times New Roman"/>
          <w:b/>
          <w:iCs/>
        </w:rPr>
        <w:lastRenderedPageBreak/>
        <w:t>des taxes, droits et redevances applicables aux activités autres qu’activités minières du titulaire (Article 220 quater)</w:t>
      </w:r>
      <w:r w:rsidRPr="003476DE">
        <w:rPr>
          <w:rFonts w:ascii="Times New Roman" w:hAnsi="Times New Roman" w:cs="Times New Roman"/>
          <w:b/>
          <w:iCs/>
        </w:rPr>
        <w:t> :</w:t>
      </w:r>
    </w:p>
    <w:p w14:paraId="40048CDA" w14:textId="77777777" w:rsidR="00207B98" w:rsidRPr="00840E13" w:rsidRDefault="00207B98" w:rsidP="000738D3">
      <w:pPr>
        <w:pStyle w:val="Paragraphedeliste"/>
        <w:numPr>
          <w:ilvl w:val="0"/>
          <w:numId w:val="23"/>
        </w:numPr>
        <w:autoSpaceDE w:val="0"/>
        <w:autoSpaceDN w:val="0"/>
        <w:adjustRightInd w:val="0"/>
        <w:spacing w:after="0" w:line="240" w:lineRule="auto"/>
        <w:ind w:left="1560" w:right="6" w:hanging="425"/>
        <w:jc w:val="both"/>
        <w:rPr>
          <w:rFonts w:ascii="Times New Roman" w:hAnsi="Times New Roman" w:cs="Times New Roman"/>
          <w:i/>
          <w:iCs/>
        </w:rPr>
      </w:pPr>
      <w:r w:rsidRPr="00840E13">
        <w:rPr>
          <w:rFonts w:ascii="Times New Roman" w:hAnsi="Times New Roman" w:cs="Times New Roman"/>
          <w:i/>
          <w:iCs/>
        </w:rPr>
        <w:t>le titulaire est soumis, dans le cadre de l’exercice des activités autres que ses activités minières, aux autres droits, taxes et redevances de la compétence du Pouvoir central et de celui des provinces et des entités territoriales décentralisées prévus par les lois fixant nomenclature ainsi qu’aux redevances et taxes rémunératoires qui contribuent aux frais de fonctionnement des services publics personnalisés.</w:t>
      </w:r>
    </w:p>
    <w:p w14:paraId="099C5C8B"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b/>
          <w:iCs/>
        </w:rPr>
      </w:pPr>
      <w:r w:rsidRPr="00840E13">
        <w:rPr>
          <w:rFonts w:ascii="Times New Roman" w:hAnsi="Times New Roman" w:cs="Times New Roman"/>
          <w:b/>
          <w:iCs/>
        </w:rPr>
        <w:t>des taxes et redevances du secteur forestier et protection de l’environnement (Article 238 bis)</w:t>
      </w:r>
    </w:p>
    <w:p w14:paraId="4E96EFB3" w14:textId="77777777" w:rsidR="00207B98" w:rsidRPr="00840E13" w:rsidRDefault="00207B98" w:rsidP="004A7EE9">
      <w:pPr>
        <w:pStyle w:val="Paragraphedeliste"/>
        <w:spacing w:after="0"/>
        <w:ind w:left="709" w:right="567"/>
        <w:rPr>
          <w:rFonts w:ascii="Times New Roman" w:hAnsi="Times New Roman" w:cs="Times New Roman"/>
          <w:b/>
        </w:rPr>
      </w:pPr>
      <w:r w:rsidRPr="00840E13">
        <w:rPr>
          <w:rFonts w:ascii="Times New Roman" w:hAnsi="Times New Roman" w:cs="Times New Roman"/>
          <w:i/>
          <w:iCs/>
        </w:rPr>
        <w:t>Le titulaire des droits miniers et des carrières est assujetti :</w:t>
      </w:r>
    </w:p>
    <w:p w14:paraId="0F769081"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i/>
          <w:iCs/>
        </w:rPr>
      </w:pPr>
      <w:r w:rsidRPr="00840E13">
        <w:rPr>
          <w:rFonts w:ascii="Times New Roman" w:hAnsi="Times New Roman" w:cs="Times New Roman"/>
          <w:i/>
          <w:iCs/>
        </w:rPr>
        <w:t>taxe de déboisement ;</w:t>
      </w:r>
    </w:p>
    <w:p w14:paraId="52925C9C"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rPr>
      </w:pPr>
      <w:r w:rsidRPr="00840E13">
        <w:rPr>
          <w:rFonts w:ascii="Times New Roman" w:hAnsi="Times New Roman" w:cs="Times New Roman"/>
          <w:i/>
          <w:iCs/>
        </w:rPr>
        <w:t xml:space="preserve">taxe d’implantation sur les installations classées de la catégorie 1A ; </w:t>
      </w:r>
    </w:p>
    <w:p w14:paraId="53F7ABE8" w14:textId="77777777" w:rsidR="00207B98" w:rsidRPr="00840E13" w:rsidRDefault="00207B98" w:rsidP="000738D3">
      <w:pPr>
        <w:pStyle w:val="Paragraphedeliste"/>
        <w:numPr>
          <w:ilvl w:val="0"/>
          <w:numId w:val="24"/>
        </w:numPr>
        <w:tabs>
          <w:tab w:val="left" w:pos="1560"/>
        </w:tabs>
        <w:autoSpaceDE w:val="0"/>
        <w:autoSpaceDN w:val="0"/>
        <w:adjustRightInd w:val="0"/>
        <w:spacing w:after="0"/>
        <w:ind w:left="1418" w:right="6" w:hanging="142"/>
        <w:jc w:val="both"/>
        <w:rPr>
          <w:rFonts w:ascii="Times New Roman" w:hAnsi="Times New Roman" w:cs="Times New Roman"/>
          <w:i/>
          <w:iCs/>
        </w:rPr>
      </w:pPr>
      <w:r w:rsidRPr="00840E13">
        <w:rPr>
          <w:rFonts w:ascii="Times New Roman" w:hAnsi="Times New Roman" w:cs="Times New Roman"/>
          <w:i/>
          <w:iCs/>
        </w:rPr>
        <w:t xml:space="preserve">taxe rémunératoire annuelle sur les installations classées de la catégorie 1A ; </w:t>
      </w:r>
    </w:p>
    <w:p w14:paraId="5F8AB7F3" w14:textId="77777777" w:rsidR="00207B98" w:rsidRPr="00840E13" w:rsidRDefault="00207B98" w:rsidP="000738D3">
      <w:pPr>
        <w:pStyle w:val="Paragraphedeliste"/>
        <w:numPr>
          <w:ilvl w:val="0"/>
          <w:numId w:val="24"/>
        </w:numPr>
        <w:tabs>
          <w:tab w:val="left" w:pos="1560"/>
        </w:tabs>
        <w:autoSpaceDE w:val="0"/>
        <w:autoSpaceDN w:val="0"/>
        <w:adjustRightInd w:val="0"/>
        <w:ind w:left="1418" w:right="6" w:hanging="142"/>
        <w:jc w:val="both"/>
        <w:rPr>
          <w:rFonts w:ascii="Times New Roman" w:hAnsi="Times New Roman" w:cs="Times New Roman"/>
          <w:i/>
          <w:iCs/>
        </w:rPr>
      </w:pPr>
      <w:r w:rsidRPr="00840E13">
        <w:rPr>
          <w:rFonts w:ascii="Times New Roman" w:hAnsi="Times New Roman" w:cs="Times New Roman"/>
          <w:i/>
          <w:iCs/>
        </w:rPr>
        <w:t xml:space="preserve">taxe de pollution sur les installations classées de la catégorie 1A. </w:t>
      </w:r>
    </w:p>
    <w:p w14:paraId="67BFC8DB"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de l’impôt spécial sur les profits excédentaires ou super profits qui est imposable au taux de 50%</w:t>
      </w:r>
      <w:r w:rsidRPr="003476DE">
        <w:rPr>
          <w:rFonts w:ascii="Times New Roman" w:hAnsi="Times New Roman" w:cs="Times New Roman"/>
          <w:b/>
          <w:iCs/>
        </w:rPr>
        <w:t xml:space="preserve">. </w:t>
      </w:r>
    </w:p>
    <w:p w14:paraId="438962C2" w14:textId="77777777" w:rsidR="00207B98" w:rsidRPr="00840E13" w:rsidRDefault="00207B98" w:rsidP="004A7EE9">
      <w:pPr>
        <w:pStyle w:val="Paragraphedeliste"/>
        <w:autoSpaceDE w:val="0"/>
        <w:autoSpaceDN w:val="0"/>
        <w:adjustRightInd w:val="0"/>
        <w:spacing w:after="0"/>
        <w:ind w:left="567" w:right="6"/>
        <w:jc w:val="both"/>
        <w:rPr>
          <w:rFonts w:ascii="Times New Roman" w:hAnsi="Times New Roman" w:cs="Times New Roman"/>
          <w:iCs/>
        </w:rPr>
      </w:pPr>
      <w:r w:rsidRPr="00840E13">
        <w:rPr>
          <w:rFonts w:ascii="Times New Roman" w:hAnsi="Times New Roman" w:cs="Times New Roman"/>
          <w:iCs/>
        </w:rPr>
        <w:t>Le revenu soumis à l’impôt spécial sur le profit excédentaire n’est pas imposable à l’impôt sur les bénéfices et profits. Par profits excédentaires ou super profits, il faut entendre les bénéfices réalisés lorsque les cours des matières ou des commodités connaissent un accroissement exceptionnel, supérieur à 25% par rapport à ceux repris dans l’étude de faisabilité bancable du projet (Article 251 bis) ;</w:t>
      </w:r>
    </w:p>
    <w:p w14:paraId="089E8738" w14:textId="77777777" w:rsidR="00207B98" w:rsidRPr="003476DE"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b/>
          <w:iCs/>
        </w:rPr>
      </w:pPr>
      <w:r w:rsidRPr="00840E13">
        <w:rPr>
          <w:rFonts w:ascii="Times New Roman" w:hAnsi="Times New Roman" w:cs="Times New Roman"/>
          <w:b/>
          <w:iCs/>
        </w:rPr>
        <w:t>de l’impôt spécial sur les plus-values de cession d’actions ou de parts sociales </w:t>
      </w:r>
      <w:r w:rsidRPr="003476DE">
        <w:rPr>
          <w:rFonts w:ascii="Times New Roman" w:hAnsi="Times New Roman" w:cs="Times New Roman"/>
          <w:b/>
          <w:iCs/>
        </w:rPr>
        <w:t>(Article 253 bis) ;</w:t>
      </w:r>
    </w:p>
    <w:p w14:paraId="44B6218C"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d’une dotation pour contribution aux projets de développement communautaire</w:t>
      </w:r>
      <w:r w:rsidRPr="003476DE">
        <w:rPr>
          <w:rFonts w:ascii="Times New Roman" w:hAnsi="Times New Roman" w:cs="Times New Roman"/>
          <w:b/>
          <w:iCs/>
        </w:rPr>
        <w:t xml:space="preserve"> </w:t>
      </w:r>
      <w:r w:rsidRPr="00840E13">
        <w:rPr>
          <w:rFonts w:ascii="Times New Roman" w:hAnsi="Times New Roman" w:cs="Times New Roman"/>
          <w:iCs/>
        </w:rPr>
        <w:t xml:space="preserve">que le titulaire de droit minier d’exploitation ou d’autorisation d’exploitation des carrières permanente est tenu de constituer, en franchise de l’impôt sur les bénéfices et profits, et dont le montant minimal est égal à 0,3 % du chiffre d’affaires de l’exercice au cours duquel elle est constituée. La dotation doit être entièrement mise à disposition des communautés locales avant l’expiration de l’exercice suivant celui au cours duquel elle a été constituée (Article 258 bis) ;  </w:t>
      </w:r>
    </w:p>
    <w:p w14:paraId="1A31C629"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rPr>
      </w:pPr>
      <w:r w:rsidRPr="00840E13">
        <w:rPr>
          <w:rFonts w:ascii="Times New Roman" w:hAnsi="Times New Roman" w:cs="Times New Roman"/>
          <w:b/>
          <w:iCs/>
        </w:rPr>
        <w:t>de l’impôt forfaitaire dans le cadre de l’exploitation artisanale et de l’exploitation minière à petite échelle</w:t>
      </w:r>
      <w:r w:rsidRPr="003476DE">
        <w:rPr>
          <w:rFonts w:ascii="Times New Roman" w:hAnsi="Times New Roman" w:cs="Times New Roman"/>
          <w:b/>
          <w:iCs/>
        </w:rPr>
        <w:t>,</w:t>
      </w:r>
      <w:r w:rsidRPr="00840E13">
        <w:rPr>
          <w:rFonts w:ascii="Times New Roman" w:hAnsi="Times New Roman" w:cs="Times New Roman"/>
          <w:iCs/>
        </w:rPr>
        <w:t xml:space="preserve"> dont le paiement exempte le titulaire du paiement de la redevance minière, de l’impôt mobilier, de l’impôt sur les bénéfices et profits, de l’impôt exceptionnel sur les rémunérations des expatriés (Article 262 al. 4) ;</w:t>
      </w:r>
    </w:p>
    <w:p w14:paraId="028BE59F" w14:textId="77777777" w:rsidR="00207B98" w:rsidRPr="00840E13" w:rsidRDefault="00207B98" w:rsidP="000738D3">
      <w:pPr>
        <w:pStyle w:val="Paragraphedeliste"/>
        <w:numPr>
          <w:ilvl w:val="0"/>
          <w:numId w:val="19"/>
        </w:numPr>
        <w:autoSpaceDE w:val="0"/>
        <w:autoSpaceDN w:val="0"/>
        <w:adjustRightInd w:val="0"/>
        <w:spacing w:after="0"/>
        <w:ind w:left="567" w:right="6" w:hanging="283"/>
        <w:jc w:val="both"/>
        <w:rPr>
          <w:rFonts w:ascii="Times New Roman" w:hAnsi="Times New Roman" w:cs="Times New Roman"/>
          <w:iCs/>
          <w:color w:val="000000"/>
          <w:sz w:val="20"/>
        </w:rPr>
      </w:pPr>
      <w:r w:rsidRPr="00840E13">
        <w:rPr>
          <w:rFonts w:ascii="Times New Roman" w:hAnsi="Times New Roman" w:cs="Times New Roman"/>
          <w:b/>
          <w:iCs/>
        </w:rPr>
        <w:t>de la redevance de suivi de change de 2/1000 que le titulaire est tenu de payer à la Banque Centrale du Congo</w:t>
      </w:r>
      <w:r w:rsidRPr="00840E13">
        <w:rPr>
          <w:rFonts w:ascii="Times New Roman" w:hAnsi="Times New Roman" w:cs="Times New Roman"/>
          <w:iCs/>
        </w:rPr>
        <w:t xml:space="preserve"> sur tout paiement vis-à-vis de l’étranger et sur toute opération de débit ou de crédit effectuée sur son compte principal (Article 270), </w:t>
      </w:r>
    </w:p>
    <w:p w14:paraId="4BF4A641" w14:textId="77777777" w:rsidR="00207B98" w:rsidRPr="00840E13" w:rsidRDefault="00207B98" w:rsidP="000738D3">
      <w:pPr>
        <w:pStyle w:val="Paragraphedeliste"/>
        <w:numPr>
          <w:ilvl w:val="0"/>
          <w:numId w:val="19"/>
        </w:numPr>
        <w:autoSpaceDE w:val="0"/>
        <w:autoSpaceDN w:val="0"/>
        <w:adjustRightInd w:val="0"/>
        <w:ind w:left="567" w:right="6" w:hanging="283"/>
        <w:jc w:val="both"/>
        <w:rPr>
          <w:rFonts w:ascii="Times New Roman" w:hAnsi="Times New Roman" w:cs="Times New Roman"/>
          <w:iCs/>
        </w:rPr>
      </w:pPr>
      <w:r>
        <w:rPr>
          <w:rFonts w:ascii="Times New Roman" w:hAnsi="Times New Roman" w:cs="Times New Roman"/>
          <w:b/>
          <w:iCs/>
        </w:rPr>
        <w:t xml:space="preserve">et aussi d’autres </w:t>
      </w:r>
      <w:r w:rsidRPr="00840E13">
        <w:rPr>
          <w:rFonts w:ascii="Times New Roman" w:hAnsi="Times New Roman" w:cs="Times New Roman"/>
          <w:b/>
          <w:iCs/>
        </w:rPr>
        <w:t>impôts, taxes, droits</w:t>
      </w:r>
      <w:r>
        <w:rPr>
          <w:rFonts w:ascii="Times New Roman" w:hAnsi="Times New Roman" w:cs="Times New Roman"/>
          <w:b/>
          <w:iCs/>
        </w:rPr>
        <w:t>,</w:t>
      </w:r>
      <w:r w:rsidRPr="00840E13">
        <w:rPr>
          <w:rFonts w:ascii="Times New Roman" w:hAnsi="Times New Roman" w:cs="Times New Roman"/>
          <w:b/>
          <w:iCs/>
        </w:rPr>
        <w:t xml:space="preserve"> redevances et autres prélèvements parafiscaux</w:t>
      </w:r>
      <w:r>
        <w:rPr>
          <w:rFonts w:ascii="Times New Roman" w:hAnsi="Times New Roman" w:cs="Times New Roman"/>
          <w:b/>
          <w:iCs/>
        </w:rPr>
        <w:t xml:space="preserve"> présentés dans le tableau qui peut être consulté</w:t>
      </w:r>
      <w:r>
        <w:rPr>
          <w:rStyle w:val="Appelnotedebasdep"/>
          <w:rFonts w:ascii="Times New Roman" w:hAnsi="Times New Roman" w:cs="Times New Roman"/>
          <w:b/>
          <w:iCs/>
        </w:rPr>
        <w:footnoteReference w:id="15"/>
      </w:r>
      <w:r>
        <w:rPr>
          <w:rFonts w:ascii="Times New Roman" w:hAnsi="Times New Roman" w:cs="Times New Roman"/>
          <w:b/>
          <w:iCs/>
        </w:rPr>
        <w:t xml:space="preserve"> sur ce </w:t>
      </w:r>
      <w:hyperlink r:id="rId25" w:history="1">
        <w:r w:rsidRPr="00FD6DD7">
          <w:rPr>
            <w:rStyle w:val="Lienhypertexte"/>
            <w:rFonts w:ascii="Times New Roman" w:hAnsi="Times New Roman"/>
            <w:b/>
            <w:iCs/>
          </w:rPr>
          <w:t>lien</w:t>
        </w:r>
      </w:hyperlink>
    </w:p>
    <w:p w14:paraId="039AECE0" w14:textId="77777777" w:rsidR="00207B98" w:rsidRPr="006443D7" w:rsidRDefault="004A7EE9" w:rsidP="006443D7">
      <w:pPr>
        <w:pStyle w:val="Titre3"/>
        <w:rPr>
          <w:rFonts w:ascii="Times New Roman" w:hAnsi="Times New Roman" w:cs="Times New Roman"/>
          <w:sz w:val="24"/>
          <w:szCs w:val="24"/>
        </w:rPr>
      </w:pPr>
      <w:bookmarkStart w:id="80" w:name="_Toc515589776"/>
      <w:bookmarkStart w:id="81" w:name="_Toc515792939"/>
      <w:bookmarkStart w:id="82" w:name="_Toc515793178"/>
      <w:bookmarkStart w:id="83" w:name="_Toc518135491"/>
      <w:bookmarkStart w:id="84" w:name="_Toc518468062"/>
      <w:r w:rsidRPr="006443D7">
        <w:rPr>
          <w:rFonts w:ascii="Times New Roman" w:hAnsi="Times New Roman" w:cs="Times New Roman"/>
          <w:sz w:val="24"/>
          <w:szCs w:val="24"/>
        </w:rPr>
        <w:t xml:space="preserve">I.2.3. </w:t>
      </w:r>
      <w:r w:rsidR="00207B98" w:rsidRPr="006443D7">
        <w:rPr>
          <w:rFonts w:ascii="Times New Roman" w:hAnsi="Times New Roman" w:cs="Times New Roman"/>
          <w:sz w:val="24"/>
          <w:szCs w:val="24"/>
        </w:rPr>
        <w:t>Niveau de décentralisation fiscale</w:t>
      </w:r>
      <w:bookmarkEnd w:id="80"/>
      <w:bookmarkEnd w:id="81"/>
      <w:bookmarkEnd w:id="82"/>
      <w:r w:rsidR="00207B98" w:rsidRPr="006443D7">
        <w:rPr>
          <w:rFonts w:ascii="Times New Roman" w:hAnsi="Times New Roman" w:cs="Times New Roman"/>
          <w:sz w:val="24"/>
          <w:szCs w:val="24"/>
        </w:rPr>
        <w:t xml:space="preserve"> dans le secteur minier</w:t>
      </w:r>
      <w:bookmarkEnd w:id="83"/>
      <w:bookmarkEnd w:id="84"/>
    </w:p>
    <w:p w14:paraId="697E0F03" w14:textId="77777777" w:rsidR="00207B98" w:rsidRPr="004A7EE9" w:rsidRDefault="00207B98" w:rsidP="004A7EE9">
      <w:pPr>
        <w:spacing w:line="276" w:lineRule="auto"/>
        <w:jc w:val="both"/>
        <w:rPr>
          <w:rFonts w:ascii="Times New Roman" w:hAnsi="Times New Roman"/>
          <w:iCs/>
          <w:sz w:val="24"/>
          <w:szCs w:val="24"/>
        </w:rPr>
      </w:pPr>
      <w:r w:rsidRPr="004A7EE9">
        <w:rPr>
          <w:rFonts w:ascii="Times New Roman" w:hAnsi="Times New Roman"/>
          <w:iCs/>
          <w:sz w:val="24"/>
          <w:szCs w:val="24"/>
        </w:rPr>
        <w:t xml:space="preserve">Le Code Minier tel que modifié et complété par la Loi </w:t>
      </w:r>
      <w:r w:rsidRPr="004A7EE9">
        <w:rPr>
          <w:rFonts w:ascii="Times New Roman" w:hAnsi="Times New Roman"/>
          <w:sz w:val="24"/>
          <w:szCs w:val="24"/>
        </w:rPr>
        <w:t xml:space="preserve">n°18/001 du 09 mars 2018 </w:t>
      </w:r>
      <w:r w:rsidRPr="004A7EE9">
        <w:rPr>
          <w:rFonts w:ascii="Times New Roman" w:hAnsi="Times New Roman"/>
          <w:iCs/>
          <w:sz w:val="24"/>
          <w:szCs w:val="24"/>
        </w:rPr>
        <w:t>distingue clairement les impôts, droits et taxes revenant au Pouvoir central de ceux revenant aux Provinces (Voir ci-dessus, par exemple les articles 220 bis et 220 ter).</w:t>
      </w:r>
    </w:p>
    <w:p w14:paraId="2412C46D" w14:textId="77777777" w:rsidR="00207B98" w:rsidRPr="004A7EE9" w:rsidRDefault="00207B98" w:rsidP="004A7EE9">
      <w:pPr>
        <w:autoSpaceDE w:val="0"/>
        <w:autoSpaceDN w:val="0"/>
        <w:adjustRightInd w:val="0"/>
        <w:spacing w:after="0" w:line="276" w:lineRule="auto"/>
        <w:ind w:right="567"/>
        <w:jc w:val="both"/>
        <w:rPr>
          <w:rFonts w:ascii="Times New Roman" w:hAnsi="Times New Roman"/>
          <w:i/>
          <w:sz w:val="24"/>
          <w:szCs w:val="24"/>
        </w:rPr>
      </w:pPr>
      <w:r w:rsidRPr="004A7EE9">
        <w:rPr>
          <w:rFonts w:ascii="Times New Roman" w:hAnsi="Times New Roman"/>
          <w:sz w:val="24"/>
          <w:szCs w:val="24"/>
        </w:rPr>
        <w:t>Par ailleurs, l’</w:t>
      </w:r>
      <w:r w:rsidRPr="004A7EE9">
        <w:rPr>
          <w:rFonts w:ascii="Times New Roman" w:hAnsi="Times New Roman"/>
          <w:b/>
          <w:i/>
          <w:sz w:val="24"/>
          <w:szCs w:val="24"/>
        </w:rPr>
        <w:t xml:space="preserve">Ordonnance-loi n°13/001 du 23 février 2013 </w:t>
      </w:r>
      <w:r w:rsidRPr="004A7EE9">
        <w:rPr>
          <w:rFonts w:ascii="Times New Roman" w:hAnsi="Times New Roman"/>
          <w:sz w:val="24"/>
          <w:szCs w:val="24"/>
        </w:rPr>
        <w:t xml:space="preserve">fixant la nomenclature des impôts, droits, taxes et redevances des Provinces et des Entités Territoriales Décentralisées ainsi que leurs modalités de répartition liste, dans son </w:t>
      </w:r>
      <w:r w:rsidRPr="004A7EE9">
        <w:rPr>
          <w:rFonts w:ascii="Times New Roman" w:hAnsi="Times New Roman"/>
          <w:b/>
          <w:i/>
          <w:sz w:val="24"/>
          <w:szCs w:val="24"/>
        </w:rPr>
        <w:t>annexe</w:t>
      </w:r>
      <w:r w:rsidRPr="004A7EE9">
        <w:rPr>
          <w:rFonts w:ascii="Times New Roman" w:hAnsi="Times New Roman"/>
          <w:i/>
          <w:sz w:val="24"/>
          <w:szCs w:val="24"/>
        </w:rPr>
        <w:t>, les flux encadrés par les provinces en application de la décentralisation fiscale, y compris ceux de l’artisanat minier.</w:t>
      </w:r>
    </w:p>
    <w:p w14:paraId="7F06575F" w14:textId="77777777" w:rsidR="00207B98" w:rsidRPr="00840E13" w:rsidRDefault="00207B98" w:rsidP="00207B98">
      <w:pPr>
        <w:autoSpaceDE w:val="0"/>
        <w:autoSpaceDN w:val="0"/>
        <w:adjustRightInd w:val="0"/>
        <w:spacing w:after="0" w:line="240" w:lineRule="auto"/>
        <w:ind w:left="1418" w:right="567"/>
        <w:jc w:val="both"/>
        <w:rPr>
          <w:rFonts w:ascii="Times New Roman" w:hAnsi="Times New Roman"/>
          <w:i/>
        </w:rPr>
      </w:pPr>
    </w:p>
    <w:p w14:paraId="3152C62F" w14:textId="77777777" w:rsidR="00207B98" w:rsidRPr="006443D7" w:rsidRDefault="004A7EE9" w:rsidP="006443D7">
      <w:pPr>
        <w:pStyle w:val="Titre3"/>
        <w:rPr>
          <w:rFonts w:ascii="Times New Roman" w:hAnsi="Times New Roman" w:cs="Times New Roman"/>
          <w:sz w:val="24"/>
          <w:szCs w:val="24"/>
        </w:rPr>
      </w:pPr>
      <w:bookmarkStart w:id="85" w:name="_Toc515589777"/>
      <w:bookmarkStart w:id="86" w:name="_Toc515792940"/>
      <w:bookmarkStart w:id="87" w:name="_Toc515793179"/>
      <w:bookmarkStart w:id="88" w:name="_Toc518135492"/>
      <w:bookmarkStart w:id="89" w:name="_Toc518468063"/>
      <w:r w:rsidRPr="006443D7">
        <w:rPr>
          <w:rFonts w:ascii="Times New Roman" w:hAnsi="Times New Roman" w:cs="Times New Roman"/>
          <w:sz w:val="24"/>
          <w:szCs w:val="24"/>
        </w:rPr>
        <w:lastRenderedPageBreak/>
        <w:t xml:space="preserve">1.2.4. </w:t>
      </w:r>
      <w:r w:rsidR="00207B98" w:rsidRPr="006443D7">
        <w:rPr>
          <w:rFonts w:ascii="Times New Roman" w:hAnsi="Times New Roman" w:cs="Times New Roman"/>
          <w:sz w:val="24"/>
          <w:szCs w:val="24"/>
        </w:rPr>
        <w:t xml:space="preserve">Rôle de l’Etat et répartition des compétences </w:t>
      </w:r>
      <w:bookmarkEnd w:id="85"/>
      <w:bookmarkEnd w:id="86"/>
      <w:bookmarkEnd w:id="87"/>
      <w:r w:rsidR="00207B98" w:rsidRPr="006443D7">
        <w:rPr>
          <w:rFonts w:ascii="Times New Roman" w:hAnsi="Times New Roman" w:cs="Times New Roman"/>
          <w:sz w:val="24"/>
          <w:szCs w:val="24"/>
        </w:rPr>
        <w:t>dans le secteur minier</w:t>
      </w:r>
      <w:bookmarkEnd w:id="88"/>
      <w:bookmarkEnd w:id="89"/>
    </w:p>
    <w:p w14:paraId="4F89B77D" w14:textId="77777777" w:rsidR="00207B98" w:rsidRPr="004A7EE9" w:rsidRDefault="00207B98" w:rsidP="004A7EE9">
      <w:pPr>
        <w:spacing w:line="276" w:lineRule="auto"/>
        <w:ind w:right="567"/>
        <w:jc w:val="both"/>
        <w:rPr>
          <w:rFonts w:ascii="Times New Roman" w:hAnsi="Times New Roman"/>
          <w:sz w:val="24"/>
          <w:szCs w:val="24"/>
        </w:rPr>
      </w:pPr>
      <w:r w:rsidRPr="004A7EE9">
        <w:rPr>
          <w:rFonts w:ascii="Times New Roman" w:hAnsi="Times New Roman"/>
          <w:sz w:val="24"/>
          <w:szCs w:val="24"/>
        </w:rPr>
        <w:t xml:space="preserve">Les articles 8 à 16 bis du Code Minier tel que modifié et complété par la </w:t>
      </w:r>
      <w:r w:rsidRPr="004A7EE9">
        <w:rPr>
          <w:rFonts w:ascii="Times New Roman" w:hAnsi="Times New Roman"/>
          <w:b/>
          <w:i/>
          <w:sz w:val="24"/>
          <w:szCs w:val="24"/>
        </w:rPr>
        <w:t>Loi n°18/001 du 09 mars 2018</w:t>
      </w:r>
      <w:r w:rsidRPr="004A7EE9">
        <w:rPr>
          <w:rFonts w:ascii="Times New Roman" w:hAnsi="Times New Roman"/>
          <w:sz w:val="24"/>
          <w:szCs w:val="24"/>
        </w:rPr>
        <w:t xml:space="preserve"> précisent le rôle de l’Etat et répartissent les compétences entre le Gouvernement central et les Gouvernements provinciaux. </w:t>
      </w:r>
    </w:p>
    <w:p w14:paraId="71511C03" w14:textId="77777777" w:rsidR="00207B98" w:rsidRPr="00840E13" w:rsidRDefault="00207B98" w:rsidP="004A7EE9">
      <w:pPr>
        <w:spacing w:line="276" w:lineRule="auto"/>
        <w:ind w:right="567"/>
        <w:jc w:val="both"/>
        <w:rPr>
          <w:rFonts w:ascii="Times New Roman" w:hAnsi="Times New Roman"/>
        </w:rPr>
      </w:pPr>
      <w:r w:rsidRPr="004A7EE9">
        <w:rPr>
          <w:rFonts w:ascii="Times New Roman" w:hAnsi="Times New Roman"/>
          <w:sz w:val="24"/>
          <w:szCs w:val="24"/>
        </w:rPr>
        <w:t>Cette répartition des compétences est restrictive en ce sens qu’en dehors des ministères en charge des Mines, de l’Environnement et des Finances, des gouvernements provinciaux, des services publics qui en dépendent ou qui sont sous leur tutelle ainsi que des organes de l’Etat expressément visés dans le Code ou dans le Règlement minier, aucun autre service ou organisme public ou étatique n’est compétent pour faire appliquer les dispositions du Code Minier et agir directement dans le secteur minier</w:t>
      </w:r>
      <w:r w:rsidRPr="00840E13">
        <w:rPr>
          <w:rFonts w:ascii="Times New Roman" w:hAnsi="Times New Roman"/>
        </w:rPr>
        <w:t xml:space="preserve">. </w:t>
      </w:r>
    </w:p>
    <w:p w14:paraId="4FAC849E" w14:textId="29A37780" w:rsidR="00207B98" w:rsidRPr="0004223F" w:rsidRDefault="0004223F" w:rsidP="0004223F">
      <w:pPr>
        <w:ind w:left="426"/>
        <w:rPr>
          <w:rFonts w:ascii="Times New Roman" w:hAnsi="Times New Roman"/>
          <w:color w:val="2E74B5" w:themeColor="accent1" w:themeShade="BF"/>
          <w:sz w:val="24"/>
          <w:szCs w:val="24"/>
        </w:rPr>
      </w:pPr>
      <w:bookmarkStart w:id="90" w:name="_Toc518135493"/>
      <w:r w:rsidRPr="0004223F">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2.4.1. Du rôle de l’Etat (Article 8)</w:t>
      </w:r>
      <w:bookmarkEnd w:id="90"/>
    </w:p>
    <w:p w14:paraId="28688009"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 xml:space="preserve">Le rôle principal de l’Etat est de promouvoir et de réguler le développement du secteur minier. Il assure la mise en valeur des substances minérales dont il est propriétaire en faisant appel notamment à l’initiative privée conformément aux dispositions du Code Minier. </w:t>
      </w:r>
    </w:p>
    <w:p w14:paraId="4C049C8E"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A cet effet, il entreprend, à travers des organismes spécialisés créés à cet effet, des activités d’investigation du sol ou du sous-sol dans le but d’améliorer la connaissance géologique du territoire national ou à des fins scientifiques ou d’amélioration et de promotion de l’information géologique du pays ou de la province qui ne requièrent pas l’obtention d’un droit minier ou d’un droit de carrières.</w:t>
      </w:r>
    </w:p>
    <w:p w14:paraId="67F6D1C5" w14:textId="77826EC7" w:rsidR="00207B98" w:rsidRPr="0004223F" w:rsidRDefault="0004223F" w:rsidP="0004223F">
      <w:pPr>
        <w:ind w:left="426"/>
        <w:rPr>
          <w:rFonts w:ascii="Times New Roman" w:hAnsi="Times New Roman"/>
          <w:color w:val="2E74B5" w:themeColor="accent1" w:themeShade="BF"/>
          <w:sz w:val="24"/>
          <w:szCs w:val="24"/>
        </w:rPr>
      </w:pPr>
      <w:bookmarkStart w:id="91" w:name="_Toc518135494"/>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2.4.2. Du fonds minier pour les générations futures  (Article 8 bis)</w:t>
      </w:r>
      <w:bookmarkEnd w:id="91"/>
    </w:p>
    <w:p w14:paraId="02DA58C6" w14:textId="77777777" w:rsidR="00207B98" w:rsidRPr="004A7EE9" w:rsidRDefault="00207B98" w:rsidP="004A7EE9">
      <w:pPr>
        <w:spacing w:line="276" w:lineRule="auto"/>
        <w:ind w:left="426" w:right="567"/>
        <w:jc w:val="both"/>
        <w:rPr>
          <w:rFonts w:ascii="Times New Roman" w:hAnsi="Times New Roman"/>
          <w:sz w:val="24"/>
          <w:szCs w:val="24"/>
        </w:rPr>
      </w:pPr>
      <w:r w:rsidRPr="004A7EE9">
        <w:rPr>
          <w:rFonts w:ascii="Times New Roman" w:hAnsi="Times New Roman"/>
          <w:sz w:val="24"/>
          <w:szCs w:val="24"/>
        </w:rPr>
        <w:t>Le Code Minier a institué un fonds minier pour les générations futures dont les ressources seront constituées d’une quotité de la redevance minière. Un décret du Premier ministre, délibéré en Conseil des ministres, crée et organise ledit fonds.</w:t>
      </w:r>
    </w:p>
    <w:p w14:paraId="0D8C4E1E" w14:textId="44226B7D" w:rsidR="00207B98" w:rsidRPr="0004223F" w:rsidRDefault="0004223F" w:rsidP="0004223F">
      <w:pPr>
        <w:ind w:left="426"/>
        <w:rPr>
          <w:rFonts w:ascii="Times New Roman" w:hAnsi="Times New Roman"/>
          <w:color w:val="2E74B5" w:themeColor="accent1" w:themeShade="BF"/>
          <w:sz w:val="24"/>
          <w:szCs w:val="24"/>
        </w:rPr>
      </w:pPr>
      <w:bookmarkStart w:id="92" w:name="_Toc518135495"/>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2.4.3. De la compétence du pouvoir central</w:t>
      </w:r>
      <w:bookmarkEnd w:id="92"/>
    </w:p>
    <w:p w14:paraId="5A9D927E" w14:textId="77777777" w:rsidR="00207B98" w:rsidRPr="00840E13" w:rsidRDefault="00207B98" w:rsidP="000738D3">
      <w:pPr>
        <w:numPr>
          <w:ilvl w:val="0"/>
          <w:numId w:val="15"/>
        </w:numPr>
        <w:spacing w:after="67" w:line="240" w:lineRule="auto"/>
        <w:ind w:left="851" w:right="567" w:hanging="360"/>
        <w:jc w:val="both"/>
        <w:rPr>
          <w:rFonts w:ascii="Times New Roman" w:hAnsi="Times New Roman"/>
          <w:i/>
        </w:rPr>
      </w:pPr>
      <w:r w:rsidRPr="00840E13">
        <w:rPr>
          <w:rFonts w:ascii="Times New Roman" w:hAnsi="Times New Roman"/>
          <w:b/>
          <w:i/>
        </w:rPr>
        <w:t xml:space="preserve">Le Premier ministre </w:t>
      </w:r>
      <w:r w:rsidRPr="00840E13">
        <w:rPr>
          <w:rFonts w:ascii="Times New Roman" w:hAnsi="Times New Roman"/>
          <w:sz w:val="20"/>
        </w:rPr>
        <w:t>(Article 9)</w:t>
      </w:r>
      <w:r w:rsidRPr="00840E13">
        <w:rPr>
          <w:rFonts w:ascii="Times New Roman" w:hAnsi="Times New Roman"/>
          <w:b/>
          <w:i/>
          <w:sz w:val="20"/>
        </w:rPr>
        <w:t xml:space="preserve"> </w:t>
      </w:r>
    </w:p>
    <w:p w14:paraId="6A09C217" w14:textId="77777777" w:rsidR="00207B98" w:rsidRPr="00840E13" w:rsidRDefault="00207B98" w:rsidP="004A7EE9">
      <w:pPr>
        <w:spacing w:line="240" w:lineRule="auto"/>
        <w:ind w:left="851" w:right="567"/>
        <w:jc w:val="both"/>
        <w:rPr>
          <w:rFonts w:ascii="Times New Roman" w:hAnsi="Times New Roman"/>
        </w:rPr>
      </w:pPr>
      <w:r w:rsidRPr="00840E13">
        <w:rPr>
          <w:rFonts w:ascii="Times New Roman" w:hAnsi="Times New Roman"/>
        </w:rPr>
        <w:t>Le Premier ministre est compétent pour :</w:t>
      </w:r>
    </w:p>
    <w:p w14:paraId="1367CFCA"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édicter ou modifier le Règlement minier qui porte les mesures d’application du Code minier ; </w:t>
      </w:r>
    </w:p>
    <w:p w14:paraId="109B2D4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classer, déclasser ou reclasser les substances minérales en mines ou en produits des carrières et inversement ; </w:t>
      </w:r>
    </w:p>
    <w:p w14:paraId="2C25062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confirmer la réservation d’un gisement soumis à l’appel d’offres faite par arrêté du ministre ;</w:t>
      </w:r>
    </w:p>
    <w:p w14:paraId="23694488"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déclarer une substance minérale substance minérale stratégique ; </w:t>
      </w:r>
    </w:p>
    <w:p w14:paraId="1876EAC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décréter une zone interdite aux travaux miniers, à l’activité minière ou aux travaux de carrières ; </w:t>
      </w:r>
    </w:p>
    <w:p w14:paraId="25189D52"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 xml:space="preserve">déclarer le classement ou le déclassement d’une substance minérale en substance réservée ; </w:t>
      </w:r>
    </w:p>
    <w:p w14:paraId="3C5816E6"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szCs w:val="20"/>
        </w:rPr>
      </w:pPr>
      <w:r w:rsidRPr="00840E13">
        <w:rPr>
          <w:rFonts w:ascii="Times New Roman" w:hAnsi="Times New Roman" w:cs="Times New Roman"/>
          <w:szCs w:val="20"/>
        </w:rPr>
        <w:t>délimiter ou classer  une portion du territoire en aire protégée.</w:t>
      </w:r>
    </w:p>
    <w:p w14:paraId="1A7353AB" w14:textId="77777777" w:rsidR="00207B98" w:rsidRDefault="00207B98" w:rsidP="004A7EE9">
      <w:pPr>
        <w:spacing w:line="240" w:lineRule="auto"/>
        <w:ind w:left="851" w:right="567"/>
        <w:jc w:val="both"/>
        <w:rPr>
          <w:rFonts w:ascii="Times New Roman" w:hAnsi="Times New Roman"/>
        </w:rPr>
      </w:pPr>
      <w:r w:rsidRPr="00840E13">
        <w:rPr>
          <w:rFonts w:ascii="Times New Roman" w:hAnsi="Times New Roman"/>
        </w:rPr>
        <w:lastRenderedPageBreak/>
        <w:t>Le Premier ministre exerce les prérogatives ci-dessus par voie de décret, délibéré en Conseil des ministres sur proposition du ministre, et le cas échéant, des ministres compétents. L’exercice des prérogatives reconnues au Premier ministre n’est pas susceptible de délégation.</w:t>
      </w:r>
    </w:p>
    <w:p w14:paraId="555D7FFE" w14:textId="77777777" w:rsidR="00207B98" w:rsidRPr="00840E13" w:rsidRDefault="00207B98" w:rsidP="000738D3">
      <w:pPr>
        <w:numPr>
          <w:ilvl w:val="0"/>
          <w:numId w:val="15"/>
        </w:numPr>
        <w:spacing w:after="67" w:line="240" w:lineRule="auto"/>
        <w:ind w:left="851" w:right="567" w:hanging="360"/>
        <w:jc w:val="both"/>
        <w:rPr>
          <w:rFonts w:ascii="Times New Roman" w:hAnsi="Times New Roman"/>
        </w:rPr>
      </w:pPr>
      <w:r w:rsidRPr="00840E13">
        <w:rPr>
          <w:rFonts w:ascii="Times New Roman" w:hAnsi="Times New Roman"/>
          <w:b/>
          <w:i/>
        </w:rPr>
        <w:t xml:space="preserve">Le Ministre des Mines </w:t>
      </w:r>
      <w:r w:rsidRPr="00840E13">
        <w:rPr>
          <w:rFonts w:ascii="Times New Roman" w:hAnsi="Times New Roman"/>
          <w:sz w:val="20"/>
        </w:rPr>
        <w:t xml:space="preserve">(Article 10) </w:t>
      </w:r>
    </w:p>
    <w:p w14:paraId="7F0407F0" w14:textId="77777777" w:rsidR="00207B98" w:rsidRPr="00840E13" w:rsidRDefault="00207B98" w:rsidP="00D37D46">
      <w:pPr>
        <w:spacing w:after="0" w:line="240" w:lineRule="auto"/>
        <w:ind w:left="851" w:right="567"/>
        <w:jc w:val="both"/>
        <w:rPr>
          <w:rFonts w:ascii="Times New Roman" w:hAnsi="Times New Roman"/>
        </w:rPr>
      </w:pPr>
      <w:r w:rsidRPr="00840E13">
        <w:rPr>
          <w:rFonts w:ascii="Times New Roman" w:hAnsi="Times New Roman"/>
        </w:rPr>
        <w:t xml:space="preserve">Le Ministre des Mines est compétent pour : </w:t>
      </w:r>
    </w:p>
    <w:p w14:paraId="58B18C2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octroyer ou refuser d’octroyer les droits miniers et/ou de carrières pour les substances minérales autres que les matériaux de construction à usage courant ; </w:t>
      </w:r>
    </w:p>
    <w:p w14:paraId="2E59B74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déchoir le titulaire, retirer les droits miniers et/ou de carrières, donner acte aux déclarations de renonciation aux droits miniers et/ou de carrières et acter l’expiration des droits miniers et/ou de carrières, conformément aux dispositions du Code Minier ; </w:t>
      </w:r>
    </w:p>
    <w:p w14:paraId="42D8670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autoriser, par dérogation, les exportations des minerais à l’état brut par arrêté interministériel délibéré en Conseil des ministres ; </w:t>
      </w:r>
    </w:p>
    <w:p w14:paraId="02F60BCF"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instituer les zones d’exploitation artisanale ;</w:t>
      </w:r>
    </w:p>
    <w:p w14:paraId="342FAC8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et retirer l’agrément des comptoirs d’achat des produits de l’exploitation artisanale, des coopératives minières ou des produits de carrières et des entités de traitement des substances minérales ;</w:t>
      </w:r>
    </w:p>
    <w:p w14:paraId="23F9ECC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autoriser l’extension des travaux d’exploitation ;</w:t>
      </w:r>
    </w:p>
    <w:p w14:paraId="45FDF20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approuver les hypothèques minières ;</w:t>
      </w:r>
    </w:p>
    <w:p w14:paraId="3A39C41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exercer la tutelle des Services publics spécialisés du ministère des Mines ;</w:t>
      </w:r>
    </w:p>
    <w:p w14:paraId="55238063"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réserver les gisements à soumettre à l’appel d’offres, à confirmer par le Premier ministre ;</w:t>
      </w:r>
    </w:p>
    <w:p w14:paraId="4E01495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accepter ou refuser l’extension d’un droit minier ou de carrières aux substances non associées ;</w:t>
      </w:r>
    </w:p>
    <w:p w14:paraId="2267F76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délivrer les autorisations de traitement des produits de l’exploitation artisanale ;</w:t>
      </w:r>
    </w:p>
    <w:p w14:paraId="098B3856"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proposer au Premier ministre le classement, le reclassement ou le déclassement des substances réservées, des substances minérales classées en mines ou en produits de carrières et inversement ainsi que des zones interdites ; </w:t>
      </w:r>
    </w:p>
    <w:p w14:paraId="3CFCEFC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nommer, sur proposition des ministres sectoriels concernés, les membres de la Commission interministérielle chargée de sélectionner les offres relatives à l’exploitation d’un gisement soumis à l’appel d’offres ainsi que les membres de la Commission interministérielle chargée d’examiner les listes des biens à importer pour les activités minières ; </w:t>
      </w:r>
    </w:p>
    <w:p w14:paraId="4E8718B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les mandataires en mines et carrières ;</w:t>
      </w:r>
    </w:p>
    <w:p w14:paraId="2FCB9DD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agréer les laboratoires d’analyses des substances minérales ;</w:t>
      </w:r>
    </w:p>
    <w:p w14:paraId="31720809"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agréer les bureaux d’études géologiques ; </w:t>
      </w:r>
    </w:p>
    <w:p w14:paraId="7EAB0214"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approuver ou refuser les transferts des droits miniers ; </w:t>
      </w:r>
    </w:p>
    <w:p w14:paraId="017BBE0B"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édicter, en collaboration avec les ministres ayant l’Economie et le Commerce extérieur dans leurs attributions,  la nomenclature des produits marchands ; </w:t>
      </w:r>
    </w:p>
    <w:p w14:paraId="03365A61"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statuer sur les résultats des audits environnementaux conjointement avec le ministre ayant l’Environnement dans ses attributions ;</w:t>
      </w:r>
    </w:p>
    <w:p w14:paraId="5735FF6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 xml:space="preserve">approuver, conjointement avec le ministre ayant les Finances dans ses attributions, les listes des biens à importer sous le régime douanier privilégié ;  </w:t>
      </w:r>
    </w:p>
    <w:p w14:paraId="4D94C2D0"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fixer, conjointement avec le ministre ayant les Finances dans ses attributions, les taux des droits, taxes et redevances à percevoir à l’initiative du ministre en charge des mines.</w:t>
      </w:r>
    </w:p>
    <w:p w14:paraId="5F02785B" w14:textId="77777777" w:rsidR="00207B98" w:rsidRPr="00840E13" w:rsidRDefault="00207B98" w:rsidP="00207B98">
      <w:pPr>
        <w:pStyle w:val="Paragraphedeliste"/>
        <w:spacing w:after="0" w:line="240" w:lineRule="auto"/>
        <w:ind w:left="1843" w:right="567"/>
        <w:rPr>
          <w:rFonts w:ascii="Times New Roman" w:hAnsi="Times New Roman" w:cs="Times New Roman"/>
          <w:sz w:val="8"/>
          <w:szCs w:val="8"/>
        </w:rPr>
      </w:pPr>
    </w:p>
    <w:p w14:paraId="7CD0303E" w14:textId="77777777" w:rsidR="00207B98" w:rsidRPr="00D37D46" w:rsidRDefault="00207B98" w:rsidP="000738D3">
      <w:pPr>
        <w:numPr>
          <w:ilvl w:val="0"/>
          <w:numId w:val="15"/>
        </w:numPr>
        <w:spacing w:after="67" w:line="240" w:lineRule="auto"/>
        <w:ind w:left="851" w:right="567" w:hanging="360"/>
        <w:jc w:val="both"/>
        <w:rPr>
          <w:rFonts w:ascii="Times New Roman" w:hAnsi="Times New Roman"/>
          <w:b/>
          <w:i/>
        </w:rPr>
      </w:pPr>
      <w:r w:rsidRPr="00840E13">
        <w:rPr>
          <w:rFonts w:ascii="Times New Roman" w:hAnsi="Times New Roman"/>
          <w:b/>
          <w:i/>
        </w:rPr>
        <w:t xml:space="preserve">L’Administration des mines </w:t>
      </w:r>
      <w:r w:rsidRPr="00D37D46">
        <w:rPr>
          <w:rFonts w:ascii="Times New Roman" w:hAnsi="Times New Roman"/>
          <w:b/>
          <w:i/>
        </w:rPr>
        <w:t>(Article 10 bis)</w:t>
      </w:r>
    </w:p>
    <w:p w14:paraId="59D7BE05" w14:textId="77777777" w:rsidR="00207B98" w:rsidRPr="00D37D46" w:rsidRDefault="00207B98" w:rsidP="00D37D46">
      <w:pPr>
        <w:spacing w:line="240" w:lineRule="auto"/>
        <w:ind w:left="851" w:right="567"/>
        <w:jc w:val="both"/>
        <w:rPr>
          <w:rFonts w:ascii="Times New Roman" w:hAnsi="Times New Roman"/>
          <w:sz w:val="24"/>
          <w:szCs w:val="24"/>
        </w:rPr>
      </w:pPr>
      <w:r w:rsidRPr="00D37D46">
        <w:rPr>
          <w:rFonts w:ascii="Times New Roman" w:hAnsi="Times New Roman"/>
          <w:sz w:val="24"/>
          <w:szCs w:val="24"/>
        </w:rPr>
        <w:t xml:space="preserve">L’Administration des mines comprend le Secrétariat Général, les Directions, les Divisions et autres Services administratifs du ministère en charge des mines, y compris ceux qui interviennent dans l’administration du Code minier et de toutes ses mesures d’application. Ils sont régis conformément aux textes légaux et réglementaires en vigueur relatifs à l’Administration publique. </w:t>
      </w:r>
    </w:p>
    <w:p w14:paraId="44A1BDA0" w14:textId="77777777" w:rsidR="00207B98" w:rsidRPr="00D37D46" w:rsidRDefault="00207B98" w:rsidP="00D37D46">
      <w:pPr>
        <w:spacing w:after="0" w:line="240" w:lineRule="auto"/>
        <w:ind w:left="851" w:right="567"/>
        <w:jc w:val="both"/>
        <w:rPr>
          <w:rFonts w:ascii="Times New Roman" w:hAnsi="Times New Roman"/>
          <w:sz w:val="24"/>
          <w:szCs w:val="24"/>
        </w:rPr>
      </w:pPr>
      <w:r w:rsidRPr="00D37D46">
        <w:rPr>
          <w:rFonts w:ascii="Times New Roman" w:hAnsi="Times New Roman"/>
          <w:sz w:val="24"/>
          <w:szCs w:val="24"/>
        </w:rPr>
        <w:lastRenderedPageBreak/>
        <w:t xml:space="preserve">Les directions techniques qui interviennent dans le processus de l’octroi de droits miniers et/ou de carrières sont : </w:t>
      </w:r>
    </w:p>
    <w:p w14:paraId="0BF48DFA"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 géologie ;</w:t>
      </w:r>
    </w:p>
    <w:p w14:paraId="3FF7640C"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des mines ;</w:t>
      </w:r>
    </w:p>
    <w:p w14:paraId="10C5EAFE" w14:textId="77777777" w:rsidR="00207B98" w:rsidRPr="00840E13" w:rsidRDefault="00207B98" w:rsidP="000738D3">
      <w:pPr>
        <w:pStyle w:val="Paragraphedeliste"/>
        <w:numPr>
          <w:ilvl w:val="0"/>
          <w:numId w:val="25"/>
        </w:numPr>
        <w:spacing w:after="67" w:line="240" w:lineRule="auto"/>
        <w:ind w:left="1560" w:right="567" w:hanging="283"/>
        <w:jc w:val="both"/>
        <w:rPr>
          <w:rFonts w:ascii="Times New Roman" w:hAnsi="Times New Roman" w:cs="Times New Roman"/>
        </w:rPr>
      </w:pPr>
      <w:r w:rsidRPr="00840E13">
        <w:rPr>
          <w:rFonts w:ascii="Times New Roman" w:hAnsi="Times New Roman" w:cs="Times New Roman"/>
        </w:rPr>
        <w:t>la Direction de protection de l’environnement minier.</w:t>
      </w:r>
    </w:p>
    <w:p w14:paraId="13D4C275" w14:textId="77777777" w:rsidR="00207B98" w:rsidRPr="00D37D46" w:rsidRDefault="00207B98" w:rsidP="00D37D46">
      <w:pPr>
        <w:spacing w:line="240" w:lineRule="auto"/>
        <w:ind w:left="851" w:right="567"/>
        <w:jc w:val="both"/>
        <w:rPr>
          <w:rFonts w:ascii="Times New Roman" w:hAnsi="Times New Roman"/>
          <w:sz w:val="24"/>
          <w:szCs w:val="24"/>
        </w:rPr>
      </w:pPr>
      <w:r w:rsidRPr="00D37D46">
        <w:rPr>
          <w:rFonts w:ascii="Times New Roman" w:hAnsi="Times New Roman"/>
          <w:sz w:val="24"/>
          <w:szCs w:val="24"/>
        </w:rPr>
        <w:t>Le Règlement minier détermine les attributions de chacun des services de l’Administration des mines.</w:t>
      </w:r>
    </w:p>
    <w:p w14:paraId="6434AE1C" w14:textId="372C9379" w:rsidR="00207B98" w:rsidRPr="0004223F" w:rsidRDefault="0004223F" w:rsidP="0004223F">
      <w:pPr>
        <w:ind w:left="426"/>
        <w:rPr>
          <w:rFonts w:ascii="Times New Roman" w:hAnsi="Times New Roman"/>
          <w:color w:val="2E74B5" w:themeColor="accent1" w:themeShade="BF"/>
          <w:sz w:val="24"/>
          <w:szCs w:val="24"/>
        </w:rPr>
      </w:pPr>
      <w:bookmarkStart w:id="93" w:name="_Toc518135496"/>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2.4.4. De la compétence de la province</w:t>
      </w:r>
      <w:bookmarkEnd w:id="93"/>
    </w:p>
    <w:p w14:paraId="54085D6F" w14:textId="77777777" w:rsidR="00207B98" w:rsidRPr="00D37D46" w:rsidRDefault="00207B98" w:rsidP="000738D3">
      <w:pPr>
        <w:numPr>
          <w:ilvl w:val="0"/>
          <w:numId w:val="28"/>
        </w:numPr>
        <w:tabs>
          <w:tab w:val="left" w:pos="851"/>
          <w:tab w:val="left" w:pos="1418"/>
        </w:tabs>
        <w:spacing w:after="67" w:line="240" w:lineRule="auto"/>
        <w:ind w:left="426" w:right="567"/>
        <w:jc w:val="both"/>
        <w:rPr>
          <w:rFonts w:ascii="Times New Roman" w:hAnsi="Times New Roman"/>
          <w:b/>
          <w:i/>
        </w:rPr>
      </w:pPr>
      <w:r w:rsidRPr="00840E13">
        <w:rPr>
          <w:rFonts w:ascii="Times New Roman" w:hAnsi="Times New Roman"/>
          <w:b/>
          <w:i/>
        </w:rPr>
        <w:t>Le</w:t>
      </w:r>
      <w:r w:rsidRPr="00D37D46">
        <w:rPr>
          <w:rFonts w:ascii="Times New Roman" w:hAnsi="Times New Roman"/>
          <w:b/>
          <w:i/>
        </w:rPr>
        <w:t xml:space="preserve"> </w:t>
      </w:r>
      <w:r w:rsidRPr="00840E13">
        <w:rPr>
          <w:rFonts w:ascii="Times New Roman" w:hAnsi="Times New Roman"/>
          <w:b/>
          <w:i/>
        </w:rPr>
        <w:t>Gouverneur de Province</w:t>
      </w:r>
      <w:r w:rsidRPr="00D37D46">
        <w:rPr>
          <w:rFonts w:ascii="Times New Roman" w:hAnsi="Times New Roman"/>
          <w:b/>
          <w:i/>
        </w:rPr>
        <w:t xml:space="preserve"> (Article 11)</w:t>
      </w:r>
    </w:p>
    <w:p w14:paraId="5FF54F6D" w14:textId="77777777" w:rsidR="00207B98" w:rsidRPr="00D37D46" w:rsidRDefault="00207B98" w:rsidP="00970C38">
      <w:pPr>
        <w:spacing w:line="240" w:lineRule="auto"/>
        <w:ind w:left="851" w:right="567"/>
        <w:jc w:val="both"/>
        <w:rPr>
          <w:rFonts w:ascii="Times New Roman" w:hAnsi="Times New Roman"/>
          <w:sz w:val="24"/>
          <w:szCs w:val="24"/>
        </w:rPr>
      </w:pPr>
      <w:r w:rsidRPr="00D37D46">
        <w:rPr>
          <w:rFonts w:ascii="Times New Roman" w:hAnsi="Times New Roman"/>
          <w:sz w:val="24"/>
          <w:szCs w:val="24"/>
        </w:rPr>
        <w:t xml:space="preserve">En plus des prérogatives lui reconnues notamment par la loi n°08/012 du 31 juillet 2008 portant principes généraux sur la libre administration des Provinces  et  des  Entités Territoriales Décentralisées et d’autres lois en la matière, le Gouverneur de province est compétent pour : </w:t>
      </w:r>
    </w:p>
    <w:p w14:paraId="60F4FC36"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élaborer et proposer, conformément aux normes générales du planning national, à l’assemblée provinciale la politique provinciale relative aux programmes miniers, minéralogiques, industriels, énergétiques d’intérêt provincial ; </w:t>
      </w:r>
    </w:p>
    <w:p w14:paraId="317C87DF"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superviser l’exécution par le gouvernement provincial des édits relatifs à la politique provinciale relative aux programmes miniers, minéralogiques, industriels, énergétiques d’intérêt provincial ; </w:t>
      </w:r>
    </w:p>
    <w:p w14:paraId="11755134"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proposer l’érection d’une zone interdite aux activités minières ; </w:t>
      </w:r>
    </w:p>
    <w:p w14:paraId="5CB8ED8A"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émettre un avis en cas d’institution d’une zone d’exploitation artisanale. </w:t>
      </w:r>
    </w:p>
    <w:p w14:paraId="3D7DA312" w14:textId="77777777" w:rsidR="00207B98" w:rsidRPr="00840E13" w:rsidRDefault="00207B98" w:rsidP="00207B98">
      <w:pPr>
        <w:pStyle w:val="Paragraphedeliste"/>
        <w:spacing w:line="240" w:lineRule="auto"/>
        <w:ind w:left="1843" w:right="567"/>
        <w:rPr>
          <w:rFonts w:ascii="Times New Roman" w:hAnsi="Times New Roman" w:cs="Times New Roman"/>
          <w:sz w:val="10"/>
          <w:szCs w:val="10"/>
        </w:rPr>
      </w:pPr>
    </w:p>
    <w:p w14:paraId="17E5BE83" w14:textId="77777777" w:rsidR="00207B98" w:rsidRPr="00970C38" w:rsidRDefault="00207B98" w:rsidP="000738D3">
      <w:pPr>
        <w:numPr>
          <w:ilvl w:val="0"/>
          <w:numId w:val="28"/>
        </w:numPr>
        <w:tabs>
          <w:tab w:val="left" w:pos="851"/>
        </w:tabs>
        <w:spacing w:after="67" w:line="240" w:lineRule="auto"/>
        <w:ind w:left="426" w:right="567"/>
        <w:jc w:val="both"/>
        <w:rPr>
          <w:rFonts w:ascii="Times New Roman" w:hAnsi="Times New Roman"/>
          <w:b/>
          <w:i/>
        </w:rPr>
      </w:pPr>
      <w:r w:rsidRPr="00840E13">
        <w:rPr>
          <w:rFonts w:ascii="Times New Roman" w:hAnsi="Times New Roman"/>
          <w:b/>
          <w:i/>
        </w:rPr>
        <w:t xml:space="preserve">Le Ministre provincial </w:t>
      </w:r>
      <w:r w:rsidRPr="00970C38">
        <w:rPr>
          <w:rFonts w:ascii="Times New Roman" w:hAnsi="Times New Roman"/>
          <w:b/>
          <w:i/>
        </w:rPr>
        <w:t>(Article 11 bis)</w:t>
      </w:r>
    </w:p>
    <w:p w14:paraId="63CA5A50" w14:textId="77777777" w:rsidR="00207B98" w:rsidRPr="00970C38" w:rsidRDefault="00207B98" w:rsidP="00970C38">
      <w:pPr>
        <w:spacing w:after="0" w:line="276" w:lineRule="auto"/>
        <w:ind w:left="851" w:right="567"/>
        <w:jc w:val="both"/>
        <w:rPr>
          <w:rFonts w:ascii="Times New Roman" w:hAnsi="Times New Roman"/>
          <w:sz w:val="24"/>
          <w:szCs w:val="24"/>
        </w:rPr>
      </w:pPr>
      <w:r w:rsidRPr="00970C38">
        <w:rPr>
          <w:rFonts w:ascii="Times New Roman" w:hAnsi="Times New Roman"/>
          <w:sz w:val="24"/>
          <w:szCs w:val="24"/>
        </w:rPr>
        <w:t xml:space="preserve">La compétence du ministre provincial est subordonnée à l’avis de conformité du Chef de Division provinciale des mines. Le ministre provincial est compétent pour : </w:t>
      </w:r>
    </w:p>
    <w:p w14:paraId="64F7AE24"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exécuter, sous la supervision du Gouverneur de province et, le cas échéant, en concertation avec d’autres départements ministériels provinciaux impliqués, les édits relatifs à la politique provinciale relative aux programmes miniers, minéralogiques, industriels, énergétiques d’intérêt provincial ; </w:t>
      </w:r>
    </w:p>
    <w:p w14:paraId="0CE07751"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délivrer les cartes d’exploitant artisanal ;</w:t>
      </w:r>
    </w:p>
    <w:p w14:paraId="1A4E28E8"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délivrer les cartes des négociants des produits d’exploitation artisanale ;</w:t>
      </w:r>
    </w:p>
    <w:p w14:paraId="438414E3"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autoriser la détention des produits miniers par des bijoutiers, joailliers, artistes et dentistes ;</w:t>
      </w:r>
    </w:p>
    <w:p w14:paraId="3D2222AE"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exercer, en harmonie avec les services techniques du ministère des mines et des établissements sous tutelle du ministre, la supervision des activités des services du ministère des mines installés en province; </w:t>
      </w:r>
    </w:p>
    <w:p w14:paraId="61993B5C"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délivrer un récépissé au titulaire d’un droit minier ou de carrières avant le commencement de ses activités dans la province ; </w:t>
      </w:r>
    </w:p>
    <w:p w14:paraId="4E872392"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accorder aux artistes agréés par le ministère en charge de la Culture et des Arts l’autorisation spéciale prévue à l’article 115 du Code Minier ;</w:t>
      </w:r>
    </w:p>
    <w:p w14:paraId="316C6823"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octroyer les autorisations de recherches des produits de carrières et les Autorisations d’exploitation de carrières de matériaux de construction à usage courant ; </w:t>
      </w:r>
    </w:p>
    <w:p w14:paraId="26E3E739"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décider de l’ouverture des carrières pour les travaux d’utilité publique sur les terrains domaniaux. </w:t>
      </w:r>
    </w:p>
    <w:p w14:paraId="102A4DC0" w14:textId="77777777" w:rsidR="00207B98" w:rsidRPr="00840E13" w:rsidRDefault="00207B98" w:rsidP="00207B98">
      <w:pPr>
        <w:pStyle w:val="Paragraphedeliste"/>
        <w:spacing w:line="240" w:lineRule="auto"/>
        <w:ind w:left="1843" w:right="567"/>
        <w:rPr>
          <w:rFonts w:ascii="Times New Roman" w:hAnsi="Times New Roman" w:cs="Times New Roman"/>
          <w:sz w:val="8"/>
          <w:szCs w:val="8"/>
        </w:rPr>
      </w:pPr>
    </w:p>
    <w:p w14:paraId="41F582A3" w14:textId="77777777" w:rsidR="00207B98" w:rsidRPr="00970C38" w:rsidRDefault="00207B98" w:rsidP="000738D3">
      <w:pPr>
        <w:numPr>
          <w:ilvl w:val="0"/>
          <w:numId w:val="28"/>
        </w:numPr>
        <w:tabs>
          <w:tab w:val="left" w:pos="851"/>
          <w:tab w:val="left" w:pos="1418"/>
        </w:tabs>
        <w:spacing w:after="67" w:line="240" w:lineRule="auto"/>
        <w:ind w:left="426" w:right="567"/>
        <w:jc w:val="both"/>
        <w:rPr>
          <w:rFonts w:ascii="Times New Roman" w:hAnsi="Times New Roman"/>
          <w:b/>
          <w:i/>
        </w:rPr>
      </w:pPr>
      <w:r w:rsidRPr="00840E13">
        <w:rPr>
          <w:rFonts w:ascii="Times New Roman" w:hAnsi="Times New Roman"/>
          <w:b/>
          <w:i/>
        </w:rPr>
        <w:t xml:space="preserve">Le Chef de Division provinciale des mines </w:t>
      </w:r>
      <w:r w:rsidRPr="00970C38">
        <w:rPr>
          <w:rFonts w:ascii="Times New Roman" w:hAnsi="Times New Roman"/>
          <w:b/>
          <w:i/>
        </w:rPr>
        <w:t xml:space="preserve"> (Article 11 ter)</w:t>
      </w:r>
    </w:p>
    <w:p w14:paraId="02A1706D" w14:textId="77777777" w:rsidR="00207B98" w:rsidRPr="00194E77" w:rsidRDefault="00207B98" w:rsidP="00194E77">
      <w:pPr>
        <w:spacing w:after="0" w:line="360" w:lineRule="auto"/>
        <w:ind w:left="851" w:right="567"/>
        <w:jc w:val="both"/>
        <w:rPr>
          <w:rFonts w:ascii="Times New Roman" w:hAnsi="Times New Roman"/>
          <w:sz w:val="24"/>
          <w:szCs w:val="24"/>
        </w:rPr>
      </w:pPr>
      <w:r w:rsidRPr="00194E77">
        <w:rPr>
          <w:rFonts w:ascii="Times New Roman" w:hAnsi="Times New Roman"/>
          <w:sz w:val="24"/>
          <w:szCs w:val="24"/>
        </w:rPr>
        <w:t xml:space="preserve">Le Chef de Division provinciale des mines est compétent pour : </w:t>
      </w:r>
    </w:p>
    <w:p w14:paraId="0662A479" w14:textId="77777777" w:rsidR="00207B98" w:rsidRPr="00840E13" w:rsidRDefault="00207B98" w:rsidP="000738D3">
      <w:pPr>
        <w:pStyle w:val="Paragraphedeliste"/>
        <w:numPr>
          <w:ilvl w:val="0"/>
          <w:numId w:val="25"/>
        </w:numPr>
        <w:spacing w:after="67"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contrôler et surveiller les activités minières en province ; </w:t>
      </w:r>
    </w:p>
    <w:p w14:paraId="114C6325" w14:textId="77777777" w:rsidR="00207B98" w:rsidRDefault="00207B98" w:rsidP="000738D3">
      <w:pPr>
        <w:pStyle w:val="Paragraphedeliste"/>
        <w:numPr>
          <w:ilvl w:val="0"/>
          <w:numId w:val="25"/>
        </w:numPr>
        <w:spacing w:after="0" w:line="240" w:lineRule="auto"/>
        <w:ind w:left="1843" w:right="567" w:hanging="283"/>
        <w:jc w:val="both"/>
        <w:rPr>
          <w:rFonts w:ascii="Times New Roman" w:hAnsi="Times New Roman" w:cs="Times New Roman"/>
        </w:rPr>
      </w:pPr>
      <w:r w:rsidRPr="00840E13">
        <w:rPr>
          <w:rFonts w:ascii="Times New Roman" w:hAnsi="Times New Roman" w:cs="Times New Roman"/>
        </w:rPr>
        <w:lastRenderedPageBreak/>
        <w:t>réceptionner les dépôts de demande d’agrément au titre des coopératives minières adressée au</w:t>
      </w:r>
      <w:r>
        <w:rPr>
          <w:rFonts w:ascii="Times New Roman" w:hAnsi="Times New Roman" w:cs="Times New Roman"/>
        </w:rPr>
        <w:t xml:space="preserve"> Ministre ;</w:t>
      </w:r>
    </w:p>
    <w:p w14:paraId="3A843ADB" w14:textId="77777777" w:rsidR="00207B98" w:rsidRDefault="00207B98" w:rsidP="000738D3">
      <w:pPr>
        <w:pStyle w:val="Paragraphedeliste"/>
        <w:numPr>
          <w:ilvl w:val="0"/>
          <w:numId w:val="25"/>
        </w:numPr>
        <w:spacing w:after="0" w:line="240" w:lineRule="auto"/>
        <w:ind w:left="1843" w:right="567" w:hanging="283"/>
        <w:jc w:val="both"/>
        <w:rPr>
          <w:rFonts w:ascii="Times New Roman" w:hAnsi="Times New Roman" w:cs="Times New Roman"/>
        </w:rPr>
      </w:pPr>
      <w:r w:rsidRPr="00840E13">
        <w:rPr>
          <w:rFonts w:ascii="Times New Roman" w:hAnsi="Times New Roman" w:cs="Times New Roman"/>
        </w:rPr>
        <w:t xml:space="preserve">émettre des avis de conformité préalablement aux décisions et actes du ministre provincial relativement à l’administration des dispositions du Code Minier. </w:t>
      </w:r>
    </w:p>
    <w:p w14:paraId="7DD2A588" w14:textId="77777777" w:rsidR="00207B98" w:rsidRPr="00840E13" w:rsidRDefault="00207B98" w:rsidP="00207B98">
      <w:pPr>
        <w:rPr>
          <w:sz w:val="24"/>
          <w:szCs w:val="24"/>
        </w:rPr>
      </w:pPr>
      <w:r w:rsidRPr="00840E13">
        <w:t xml:space="preserve"> </w:t>
      </w:r>
    </w:p>
    <w:p w14:paraId="15253CF5" w14:textId="5ECB4540" w:rsidR="00207B98" w:rsidRPr="0004223F" w:rsidRDefault="0004223F" w:rsidP="0004223F">
      <w:pPr>
        <w:ind w:left="426"/>
        <w:rPr>
          <w:rFonts w:ascii="Times New Roman" w:hAnsi="Times New Roman"/>
          <w:color w:val="2E74B5" w:themeColor="accent1" w:themeShade="BF"/>
          <w:sz w:val="24"/>
          <w:szCs w:val="24"/>
        </w:rPr>
      </w:pPr>
      <w:bookmarkStart w:id="94" w:name="_Toc518135497"/>
      <w:r>
        <w:rPr>
          <w:rFonts w:ascii="Times New Roman" w:hAnsi="Times New Roman"/>
          <w:color w:val="2E74B5" w:themeColor="accent1" w:themeShade="BF"/>
          <w:sz w:val="24"/>
          <w:szCs w:val="24"/>
        </w:rPr>
        <w:t>1.</w:t>
      </w:r>
      <w:r w:rsidR="00207B98" w:rsidRPr="0004223F">
        <w:rPr>
          <w:rFonts w:ascii="Times New Roman" w:hAnsi="Times New Roman"/>
          <w:color w:val="2E74B5" w:themeColor="accent1" w:themeShade="BF"/>
          <w:sz w:val="24"/>
          <w:szCs w:val="24"/>
        </w:rPr>
        <w:t>2.4.5. Des compétences des Services techniques spécialisés</w:t>
      </w:r>
      <w:bookmarkEnd w:id="94"/>
      <w:r w:rsidR="00207B98" w:rsidRPr="0004223F">
        <w:rPr>
          <w:rFonts w:ascii="Times New Roman" w:hAnsi="Times New Roman"/>
          <w:color w:val="2E74B5" w:themeColor="accent1" w:themeShade="BF"/>
          <w:sz w:val="24"/>
          <w:szCs w:val="24"/>
        </w:rPr>
        <w:t xml:space="preserve"> </w:t>
      </w:r>
    </w:p>
    <w:p w14:paraId="50A041DE" w14:textId="77777777" w:rsidR="00207B98" w:rsidRPr="00840E13" w:rsidRDefault="00207B98" w:rsidP="00207B98">
      <w:pPr>
        <w:spacing w:after="0" w:line="240" w:lineRule="auto"/>
        <w:ind w:left="1418" w:right="567"/>
        <w:jc w:val="both"/>
        <w:rPr>
          <w:rFonts w:ascii="Times New Roman" w:hAnsi="Times New Roman"/>
          <w:sz w:val="8"/>
          <w:szCs w:val="8"/>
        </w:rPr>
      </w:pPr>
    </w:p>
    <w:p w14:paraId="2F0BCAB3" w14:textId="77777777" w:rsidR="00207B98" w:rsidRPr="00194E77" w:rsidRDefault="00207B98" w:rsidP="000738D3">
      <w:pPr>
        <w:pStyle w:val="Paragraphedeliste"/>
        <w:numPr>
          <w:ilvl w:val="0"/>
          <w:numId w:val="26"/>
        </w:numPr>
        <w:spacing w:line="244" w:lineRule="auto"/>
        <w:ind w:left="993" w:right="6" w:hanging="425"/>
        <w:jc w:val="both"/>
        <w:rPr>
          <w:rFonts w:ascii="Times New Roman" w:hAnsi="Times New Roman" w:cs="Times New Roman"/>
          <w:sz w:val="24"/>
          <w:szCs w:val="24"/>
        </w:rPr>
      </w:pPr>
      <w:r w:rsidRPr="00194E77">
        <w:rPr>
          <w:rFonts w:ascii="Times New Roman" w:hAnsi="Times New Roman" w:cs="Times New Roman"/>
          <w:b/>
          <w:i/>
          <w:sz w:val="24"/>
          <w:szCs w:val="24"/>
        </w:rPr>
        <w:t>Le</w:t>
      </w:r>
      <w:r w:rsidRPr="00194E77">
        <w:rPr>
          <w:rFonts w:ascii="Times New Roman" w:hAnsi="Times New Roman" w:cs="Times New Roman"/>
          <w:i/>
          <w:color w:val="FF0000"/>
          <w:sz w:val="24"/>
          <w:szCs w:val="24"/>
        </w:rPr>
        <w:t xml:space="preserve"> </w:t>
      </w:r>
      <w:r w:rsidRPr="00194E77">
        <w:rPr>
          <w:rFonts w:ascii="Times New Roman" w:hAnsi="Times New Roman" w:cs="Times New Roman"/>
          <w:b/>
          <w:i/>
          <w:sz w:val="24"/>
          <w:szCs w:val="24"/>
        </w:rPr>
        <w:t>Cadastre Minier</w:t>
      </w:r>
      <w:r w:rsidRPr="00194E77">
        <w:rPr>
          <w:rFonts w:ascii="Times New Roman" w:hAnsi="Times New Roman" w:cs="Times New Roman"/>
          <w:b/>
          <w:sz w:val="24"/>
          <w:szCs w:val="24"/>
        </w:rPr>
        <w:t xml:space="preserve"> </w:t>
      </w:r>
      <w:r w:rsidRPr="00194E77">
        <w:rPr>
          <w:rFonts w:ascii="Times New Roman" w:hAnsi="Times New Roman" w:cs="Times New Roman"/>
          <w:sz w:val="24"/>
          <w:szCs w:val="24"/>
        </w:rPr>
        <w:t>(Article 12)</w:t>
      </w:r>
    </w:p>
    <w:p w14:paraId="726C01D3" w14:textId="77777777" w:rsidR="00207B98" w:rsidRPr="00194E77" w:rsidRDefault="00207B98" w:rsidP="00194E77">
      <w:pPr>
        <w:spacing w:after="0" w:line="240" w:lineRule="auto"/>
        <w:ind w:left="993" w:right="567"/>
        <w:jc w:val="both"/>
        <w:rPr>
          <w:rFonts w:ascii="Times New Roman" w:hAnsi="Times New Roman"/>
          <w:sz w:val="24"/>
          <w:szCs w:val="24"/>
        </w:rPr>
      </w:pPr>
      <w:r w:rsidRPr="00194E77">
        <w:rPr>
          <w:rFonts w:ascii="Times New Roman" w:hAnsi="Times New Roman"/>
          <w:sz w:val="24"/>
          <w:szCs w:val="24"/>
        </w:rPr>
        <w:t xml:space="preserve">Le Cadastre minier est un établissement public chargé de la gestion du domaine minier ainsi que celle des titres miniers et des carrières et placé sous la tutelle du ministre des mines.  </w:t>
      </w:r>
    </w:p>
    <w:p w14:paraId="348F02D3" w14:textId="77777777" w:rsidR="00207B98" w:rsidRPr="00194E77" w:rsidRDefault="00207B98" w:rsidP="00194E77">
      <w:pPr>
        <w:spacing w:line="240" w:lineRule="auto"/>
        <w:ind w:left="993" w:right="567"/>
        <w:jc w:val="both"/>
        <w:rPr>
          <w:rFonts w:ascii="Times New Roman" w:hAnsi="Times New Roman"/>
          <w:sz w:val="24"/>
          <w:szCs w:val="24"/>
        </w:rPr>
      </w:pPr>
      <w:r w:rsidRPr="00194E77">
        <w:rPr>
          <w:rFonts w:ascii="Times New Roman" w:hAnsi="Times New Roman"/>
          <w:sz w:val="24"/>
          <w:szCs w:val="24"/>
        </w:rPr>
        <w:t xml:space="preserve">Pour couvrir ses frais de fonctionnement, le Cadastre minier est autorisé à percevoir et à gérer les frais de dépôt des dossiers et une quotité des droits superficiaires annuels par carré. </w:t>
      </w:r>
    </w:p>
    <w:p w14:paraId="6D6C2633" w14:textId="77777777" w:rsidR="00207B98" w:rsidRPr="00194E77" w:rsidRDefault="00207B98" w:rsidP="000738D3">
      <w:pPr>
        <w:pStyle w:val="Paragraphedeliste"/>
        <w:numPr>
          <w:ilvl w:val="0"/>
          <w:numId w:val="26"/>
        </w:numPr>
        <w:spacing w:after="0" w:line="244" w:lineRule="auto"/>
        <w:ind w:left="993" w:right="6" w:hanging="425"/>
        <w:jc w:val="both"/>
        <w:rPr>
          <w:rFonts w:ascii="Times New Roman" w:hAnsi="Times New Roman" w:cs="Times New Roman"/>
          <w:b/>
          <w:i/>
          <w:sz w:val="24"/>
          <w:szCs w:val="24"/>
        </w:rPr>
      </w:pPr>
      <w:r w:rsidRPr="00194E77">
        <w:rPr>
          <w:rFonts w:ascii="Times New Roman" w:hAnsi="Times New Roman" w:cs="Times New Roman"/>
          <w:b/>
          <w:i/>
          <w:sz w:val="24"/>
          <w:szCs w:val="24"/>
        </w:rPr>
        <w:t>L’organisme spécialisé de recherches</w:t>
      </w:r>
    </w:p>
    <w:p w14:paraId="690272A7" w14:textId="77777777" w:rsidR="00207B98" w:rsidRPr="00194E77" w:rsidRDefault="00207B98" w:rsidP="00194E77">
      <w:pPr>
        <w:spacing w:after="0" w:line="240" w:lineRule="auto"/>
        <w:ind w:left="993" w:right="567"/>
        <w:jc w:val="both"/>
        <w:rPr>
          <w:rFonts w:ascii="Times New Roman" w:hAnsi="Times New Roman"/>
          <w:sz w:val="24"/>
          <w:szCs w:val="24"/>
        </w:rPr>
      </w:pPr>
    </w:p>
    <w:p w14:paraId="1DF561E3" w14:textId="77777777" w:rsidR="00207B98" w:rsidRPr="00194E77" w:rsidRDefault="00207B98" w:rsidP="00194E77">
      <w:pPr>
        <w:spacing w:line="240" w:lineRule="auto"/>
        <w:ind w:left="993" w:right="567"/>
        <w:jc w:val="both"/>
        <w:rPr>
          <w:rFonts w:ascii="Times New Roman" w:hAnsi="Times New Roman"/>
          <w:sz w:val="24"/>
          <w:szCs w:val="24"/>
        </w:rPr>
      </w:pPr>
      <w:r w:rsidRPr="00194E77">
        <w:rPr>
          <w:rFonts w:ascii="Times New Roman" w:hAnsi="Times New Roman"/>
          <w:sz w:val="24"/>
          <w:szCs w:val="24"/>
        </w:rPr>
        <w:t>Un décret du Premier ministre instituera un organisme spécialisé chargé de la recherche dans le domaine minier. L’organisme spécialisé de recherches sera un établissement public placé sous la tutelle du Ministre des mines et aura pour objet de réaliser des activités d’investigation du sol ou du sous-sol dans le but d’améliorer la connaissance géologique du territoire national ou des provinces à des fins scientifiques ou d’amélioration et de promotion de l’information géologique.</w:t>
      </w:r>
    </w:p>
    <w:p w14:paraId="69B9068C" w14:textId="77777777" w:rsidR="00207B98" w:rsidRPr="00840E13" w:rsidRDefault="00207B98" w:rsidP="00194E77">
      <w:pPr>
        <w:spacing w:line="240" w:lineRule="auto"/>
        <w:ind w:left="993" w:right="567"/>
        <w:jc w:val="both"/>
        <w:rPr>
          <w:rFonts w:ascii="Times New Roman" w:hAnsi="Times New Roman"/>
        </w:rPr>
      </w:pPr>
      <w:r w:rsidRPr="00194E77">
        <w:rPr>
          <w:rFonts w:ascii="Times New Roman" w:hAnsi="Times New Roman"/>
          <w:sz w:val="24"/>
          <w:szCs w:val="24"/>
        </w:rPr>
        <w:t>Outre les services techniques spécialisés cités ci-haut, le Règlement minier précisera, à sa publication, les attributions d’autres services intervenant dans le secteur minier</w:t>
      </w:r>
      <w:r>
        <w:rPr>
          <w:rFonts w:ascii="Times New Roman" w:hAnsi="Times New Roman"/>
        </w:rPr>
        <w:t>.</w:t>
      </w:r>
    </w:p>
    <w:p w14:paraId="7A3D14D4" w14:textId="77777777" w:rsidR="00207B98" w:rsidRPr="006443D7" w:rsidRDefault="0085325F" w:rsidP="006443D7">
      <w:pPr>
        <w:pStyle w:val="Titre3"/>
        <w:spacing w:line="360" w:lineRule="auto"/>
        <w:rPr>
          <w:rFonts w:ascii="Times New Roman" w:hAnsi="Times New Roman" w:cs="Times New Roman"/>
          <w:sz w:val="24"/>
          <w:szCs w:val="24"/>
        </w:rPr>
      </w:pPr>
      <w:bookmarkStart w:id="95" w:name="_Toc515589778"/>
      <w:bookmarkStart w:id="96" w:name="_Toc515792941"/>
      <w:bookmarkStart w:id="97" w:name="_Toc515793180"/>
      <w:bookmarkStart w:id="98" w:name="_Toc518135498"/>
      <w:bookmarkStart w:id="99" w:name="_Toc518468064"/>
      <w:r w:rsidRPr="006443D7">
        <w:rPr>
          <w:rFonts w:ascii="Times New Roman" w:hAnsi="Times New Roman" w:cs="Times New Roman"/>
          <w:sz w:val="24"/>
          <w:szCs w:val="24"/>
        </w:rPr>
        <w:t xml:space="preserve">1.2.5. </w:t>
      </w:r>
      <w:r w:rsidR="00207B98" w:rsidRPr="006443D7">
        <w:rPr>
          <w:rFonts w:ascii="Times New Roman" w:hAnsi="Times New Roman" w:cs="Times New Roman"/>
          <w:sz w:val="24"/>
          <w:szCs w:val="24"/>
        </w:rPr>
        <w:t>Réformes entreprises ou envisagées dans le secteur minier</w:t>
      </w:r>
      <w:bookmarkEnd w:id="95"/>
      <w:bookmarkEnd w:id="96"/>
      <w:bookmarkEnd w:id="97"/>
      <w:bookmarkEnd w:id="98"/>
      <w:bookmarkEnd w:id="99"/>
    </w:p>
    <w:p w14:paraId="1454FF68" w14:textId="315F0886" w:rsidR="00207B98" w:rsidRPr="00D47E4B" w:rsidRDefault="00207B98" w:rsidP="000738D3">
      <w:pPr>
        <w:pStyle w:val="Paragraphedeliste"/>
        <w:numPr>
          <w:ilvl w:val="1"/>
          <w:numId w:val="56"/>
        </w:numPr>
        <w:ind w:left="567"/>
        <w:rPr>
          <w:rFonts w:ascii="Times New Roman" w:hAnsi="Times New Roman"/>
          <w:i/>
          <w:sz w:val="24"/>
          <w:szCs w:val="24"/>
        </w:rPr>
      </w:pPr>
      <w:bookmarkStart w:id="100" w:name="_Toc515589779"/>
      <w:bookmarkStart w:id="101" w:name="_Toc515792942"/>
      <w:bookmarkStart w:id="102" w:name="_Toc515793181"/>
      <w:bookmarkStart w:id="103" w:name="_Toc518135499"/>
      <w:r w:rsidRPr="00D47E4B">
        <w:rPr>
          <w:rFonts w:ascii="Times New Roman" w:hAnsi="Times New Roman"/>
          <w:i/>
          <w:sz w:val="24"/>
          <w:szCs w:val="24"/>
        </w:rPr>
        <w:t>Promulgation de la Loi n°18/001 du 09 mars 2018 modifiant et complétant la Loi n°007 du 11 juillet 2002 portant Code Minier</w:t>
      </w:r>
      <w:bookmarkEnd w:id="100"/>
      <w:bookmarkEnd w:id="101"/>
      <w:bookmarkEnd w:id="102"/>
      <w:bookmarkEnd w:id="103"/>
    </w:p>
    <w:p w14:paraId="1BD6EBF6" w14:textId="77777777" w:rsidR="00207B98" w:rsidRPr="00694EDA" w:rsidRDefault="00207B98" w:rsidP="006443D7">
      <w:pPr>
        <w:spacing w:line="240" w:lineRule="auto"/>
        <w:ind w:left="567" w:right="567"/>
        <w:jc w:val="both"/>
        <w:rPr>
          <w:rFonts w:ascii="Times New Roman" w:hAnsi="Times New Roman"/>
          <w:sz w:val="24"/>
          <w:szCs w:val="24"/>
        </w:rPr>
      </w:pPr>
      <w:r w:rsidRPr="00694EDA">
        <w:rPr>
          <w:rFonts w:ascii="Times New Roman" w:hAnsi="Times New Roman"/>
          <w:sz w:val="24"/>
          <w:szCs w:val="24"/>
        </w:rPr>
        <w:t>La révision du Code Minier de 2002 a pour raison d’être de combler les lacunes et les faiblesses constatées durant les quinze ans de mise en œuvre dudit Code. Son objectif est d’établir des partenariats gagnant-gagnant entre l’Etat et les opérateurs miniers par l’accroissement du niveau de contrôle de la gestion du domaine minier de l’Etat, des titres miniers et de carrières et la précision à nouveau de la responsabilité sociale et environnementale des entreprises minières à l’égard des communautés affectées par les projets desdites entreprises ; ainsi que par la recherche de l’équilibre du régime fiscal, douanier et de change.</w:t>
      </w:r>
    </w:p>
    <w:p w14:paraId="1F26F22B" w14:textId="77777777" w:rsidR="00207B98" w:rsidRPr="00694EDA" w:rsidRDefault="00207B98" w:rsidP="006443D7">
      <w:pPr>
        <w:spacing w:line="240" w:lineRule="auto"/>
        <w:ind w:left="567" w:right="567"/>
        <w:jc w:val="both"/>
        <w:rPr>
          <w:rFonts w:ascii="Times New Roman" w:hAnsi="Times New Roman"/>
          <w:sz w:val="24"/>
          <w:szCs w:val="24"/>
        </w:rPr>
      </w:pPr>
      <w:r w:rsidRPr="00694EDA">
        <w:rPr>
          <w:rFonts w:ascii="Times New Roman" w:hAnsi="Times New Roman"/>
          <w:sz w:val="24"/>
          <w:szCs w:val="24"/>
        </w:rPr>
        <w:t xml:space="preserve">Pour l’essentiel, les innovations introduites par la loi modificative portent sur :  </w:t>
      </w:r>
    </w:p>
    <w:p w14:paraId="34251F22" w14:textId="77777777" w:rsidR="00207B98" w:rsidRPr="00694EDA" w:rsidRDefault="00207B98" w:rsidP="000738D3">
      <w:pPr>
        <w:pStyle w:val="Paragraphedeliste"/>
        <w:numPr>
          <w:ilvl w:val="0"/>
          <w:numId w:val="27"/>
        </w:numPr>
        <w:autoSpaceDE w:val="0"/>
        <w:autoSpaceDN w:val="0"/>
        <w:adjustRightInd w:val="0"/>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 souci de conformer le Code Minier à la Constitution et à l’évolution du contexte politico-administratif mettant en jeu de nouveaux intervenants dans la gestion du Code, notamment en attribuant au Premier Ministre toutes les attributions antérieurement exercées par le Président de la République, et aussi en organisant les attributions des autres intervenants dans le secteur minier ;</w:t>
      </w:r>
    </w:p>
    <w:p w14:paraId="0F282815" w14:textId="77777777" w:rsidR="00207B98" w:rsidRPr="00694EDA" w:rsidRDefault="00207B98" w:rsidP="000738D3">
      <w:pPr>
        <w:pStyle w:val="Paragraphedeliste"/>
        <w:numPr>
          <w:ilvl w:val="0"/>
          <w:numId w:val="27"/>
        </w:numPr>
        <w:autoSpaceDE w:val="0"/>
        <w:autoSpaceDN w:val="0"/>
        <w:adjustRightInd w:val="0"/>
        <w:spacing w:before="24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lastRenderedPageBreak/>
        <w:t xml:space="preserve">l’inclusion du stockage, de la détention et du transport des substances minérales dans le champ d’application du présent Code ; </w:t>
      </w:r>
    </w:p>
    <w:p w14:paraId="1296611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restriction de l’éligibilité aux droits miniers à la seule personne morale ; </w:t>
      </w:r>
    </w:p>
    <w:p w14:paraId="2E181A7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relèvement de la quotité de la participation de l’Etat dans le capital social des sociétés minières ; </w:t>
      </w:r>
    </w:p>
    <w:p w14:paraId="6DBCBA12"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 paiement des droits proportionnels ;</w:t>
      </w:r>
    </w:p>
    <w:p w14:paraId="7C3B3920"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renforcement des conditions d’octroi, de transformation, de renouvellement et de cession des droits miniers et de carrières ; </w:t>
      </w:r>
    </w:p>
    <w:p w14:paraId="070B72B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 prise des mesures incitatives à l’endroit des provinces en déficit d’infrastructures afin de permettre leur essor économique ;</w:t>
      </w:r>
    </w:p>
    <w:p w14:paraId="5D3DAF13"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l’exclusivité de l’activité de la sous-traitance dans le secteur de mines et carrières aux seules sociétés dont la majorité du capital est détenue par des congolais ; </w:t>
      </w:r>
    </w:p>
    <w:p w14:paraId="227253C1"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précision des modalités de superposition des périmètres des droits miniers et/ou des carrières ; </w:t>
      </w:r>
    </w:p>
    <w:p w14:paraId="1703E38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participation requise d’au moins 10 % des personnes physiques de nationalité congolaise dans le capital social des sociétés minières ;  </w:t>
      </w:r>
    </w:p>
    <w:p w14:paraId="0B3BEE9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restriction d’accès à l’exploitation artisanale aux seules personnes physiques majeures de nationalité congolaise, membres d’une coopérative agréée ; </w:t>
      </w:r>
    </w:p>
    <w:p w14:paraId="153D9E3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retrait des droits miniers et la récupération du périmètre ; </w:t>
      </w:r>
    </w:p>
    <w:p w14:paraId="77EC02D0"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participation des congolais dans le capital des comptoirs d’achat et de vente des matières précieuses et de traitement ; </w:t>
      </w:r>
    </w:p>
    <w:p w14:paraId="3434ED69"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de la notion de mine distincte et l’obligation de création d’une société de droit congolais pour son exploitation ; </w:t>
      </w:r>
    </w:p>
    <w:p w14:paraId="6D8494C2"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du cahier des charges pour les sociétés minières en rapport avec leur responsabilité sociale vis-à-vis des populations locales ; </w:t>
      </w:r>
    </w:p>
    <w:p w14:paraId="124BB87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l’introduction du certificat environnemental  pour l’obtention d’un Permis d’exploitation ; </w:t>
      </w:r>
    </w:p>
    <w:p w14:paraId="7DF136F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renforcement de la responsabilité industrielle du titulaire ; </w:t>
      </w:r>
    </w:p>
    <w:p w14:paraId="29D7DF8E"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prise en compte des principes et critères de  l’initiative pour la transparence des industries extractives ; </w:t>
      </w:r>
    </w:p>
    <w:p w14:paraId="59A81B6F"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 restriction du régime privilégié du Code ;</w:t>
      </w:r>
    </w:p>
    <w:p w14:paraId="21314ACA"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l’élargissement de l’assiette et le relèvement des taux de la redevance minière ;</w:t>
      </w:r>
    </w:p>
    <w:p w14:paraId="7B0EFC93"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cessation du bénéfice des droits d’entrée au  taux préférentiel pour les titulaires qui auront accompli six ans et plus d’exploitation ; </w:t>
      </w:r>
    </w:p>
    <w:p w14:paraId="08FC816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l’effectivité et le contrôle du rapatriement de 60% ou 100% de recette des ventes à l‘exportation ;</w:t>
      </w:r>
    </w:p>
    <w:p w14:paraId="59FCF268"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l’intervention d’autres ministres sectoriels dans la sphère des compétences du Ministre des mines du fait de la transversalité de l’exploitation minière ; </w:t>
      </w:r>
    </w:p>
    <w:p w14:paraId="57EC5D2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précision du cadre juridique pouvant exceptionnellement autoriser l’exportation des minerais à l’état brut ;  </w:t>
      </w:r>
    </w:p>
    <w:p w14:paraId="21BE145B"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l’autorisation d’exportation, selon le cas des substances minérales ; </w:t>
      </w:r>
    </w:p>
    <w:p w14:paraId="141FBE94"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l’institution d’une collaboration entre l’Agence Congolaise de l’Environnement et la Direction de la protection de l’environnement sur les questions ayant trait à l’instruction environnementale et sociale ;  </w:t>
      </w:r>
    </w:p>
    <w:p w14:paraId="20DEED3D"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le remplacement de l’avis environnemental par le certificat environnemental ; </w:t>
      </w:r>
    </w:p>
    <w:p w14:paraId="233FFCDA"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l’attribution exclusive au Premier ministre de la compétence de classer ou de déclasser une zone interdite à l’activité minière ou aux travaux de carrières, de déclarer le classement ou le déclassement d’une substance minérale en une substance réservée ; </w:t>
      </w:r>
    </w:p>
    <w:p w14:paraId="68D3F9CE"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lastRenderedPageBreak/>
        <w:t xml:space="preserve">l’obligation de construction du bâtiment abritant le siège social dans le chef-lieu de la province de l’exploitation ; </w:t>
      </w:r>
    </w:p>
    <w:p w14:paraId="27234009"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l’application des règles d’amortissement linéaire des immobilisations ; </w:t>
      </w:r>
    </w:p>
    <w:p w14:paraId="0E5C57D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la fixation du montant du capital social à au moins 40% des ressources nécessaires à la réalisation de l’investissement ; </w:t>
      </w:r>
    </w:p>
    <w:p w14:paraId="07A279EC"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 xml:space="preserve">l’évaluation du gisement en cas de cession d’actifs immobiliers et la prise en compte de sa  valeur dans le capital social  de la société commune ; </w:t>
      </w:r>
    </w:p>
    <w:p w14:paraId="7F2C09A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l’attribution de pas de porte à la société commerciale appartenant à l’Etat ayant effectué les travaux d’étude et de documentation sur le gisement ;</w:t>
      </w:r>
    </w:p>
    <w:p w14:paraId="577B5157" w14:textId="77777777" w:rsidR="00207B98" w:rsidRPr="00694EDA" w:rsidRDefault="00207B98" w:rsidP="000738D3">
      <w:pPr>
        <w:pStyle w:val="Paragraphedeliste"/>
        <w:numPr>
          <w:ilvl w:val="0"/>
          <w:numId w:val="27"/>
        </w:numPr>
        <w:autoSpaceDE w:val="0"/>
        <w:autoSpaceDN w:val="0"/>
        <w:adjustRightInd w:val="0"/>
        <w:spacing w:after="0" w:line="240" w:lineRule="auto"/>
        <w:ind w:left="1134" w:hanging="142"/>
        <w:jc w:val="both"/>
        <w:rPr>
          <w:rFonts w:ascii="Times New Roman" w:hAnsi="Times New Roman" w:cs="Times New Roman"/>
          <w:bCs/>
          <w:iCs/>
          <w:sz w:val="24"/>
          <w:szCs w:val="24"/>
        </w:rPr>
      </w:pPr>
      <w:r w:rsidRPr="00694EDA">
        <w:rPr>
          <w:rFonts w:ascii="Times New Roman" w:hAnsi="Times New Roman" w:cs="Times New Roman"/>
          <w:bCs/>
          <w:iCs/>
          <w:sz w:val="24"/>
          <w:szCs w:val="24"/>
        </w:rPr>
        <w:t>l’institution d’un établissement public placé sous la tutelle du Ministre des mines et chargé de réaliser des activités d’investigation du sol ou du sous-sol dans le but d’améliorer la connaissance géologique du territoire national ou des provinces à des fins scientifiques ou d’amélioration et de promotion de l’information géologique.</w:t>
      </w:r>
    </w:p>
    <w:p w14:paraId="30EC523E" w14:textId="77777777" w:rsidR="00207B98" w:rsidRPr="00694EDA" w:rsidRDefault="00207B98" w:rsidP="00207B98">
      <w:pPr>
        <w:pStyle w:val="Paragraphedeliste"/>
        <w:rPr>
          <w:rFonts w:ascii="Times New Roman" w:hAnsi="Times New Roman" w:cs="Times New Roman"/>
          <w:sz w:val="24"/>
          <w:szCs w:val="24"/>
        </w:rPr>
      </w:pPr>
    </w:p>
    <w:p w14:paraId="751BF3FB" w14:textId="77777777" w:rsidR="00207B98" w:rsidRPr="00D47E4B" w:rsidRDefault="00207B98" w:rsidP="000738D3">
      <w:pPr>
        <w:pStyle w:val="Paragraphedeliste"/>
        <w:numPr>
          <w:ilvl w:val="1"/>
          <w:numId w:val="56"/>
        </w:numPr>
        <w:ind w:left="567"/>
        <w:rPr>
          <w:rFonts w:ascii="Times New Roman" w:hAnsi="Times New Roman"/>
          <w:i/>
          <w:sz w:val="24"/>
          <w:szCs w:val="24"/>
        </w:rPr>
      </w:pPr>
      <w:bookmarkStart w:id="104" w:name="_Toc518135500"/>
      <w:r w:rsidRPr="00D47E4B">
        <w:rPr>
          <w:rFonts w:ascii="Times New Roman" w:hAnsi="Times New Roman"/>
          <w:i/>
          <w:sz w:val="24"/>
          <w:szCs w:val="24"/>
        </w:rPr>
        <w:t>Révision du Décret n°038/2003 du 26 mars 2003 portant Règlement minier</w:t>
      </w:r>
      <w:bookmarkEnd w:id="104"/>
      <w:r w:rsidRPr="00D47E4B">
        <w:rPr>
          <w:rFonts w:ascii="Times New Roman" w:hAnsi="Times New Roman"/>
          <w:i/>
          <w:sz w:val="24"/>
          <w:szCs w:val="24"/>
        </w:rPr>
        <w:t xml:space="preserve"> </w:t>
      </w:r>
    </w:p>
    <w:p w14:paraId="5B41B18B" w14:textId="1FB6EAB2" w:rsidR="00982965" w:rsidRDefault="00207B98" w:rsidP="006443D7">
      <w:pPr>
        <w:spacing w:line="240" w:lineRule="auto"/>
        <w:ind w:left="567" w:right="567"/>
        <w:jc w:val="both"/>
        <w:rPr>
          <w:rFonts w:ascii="Times New Roman" w:hAnsi="Times New Roman"/>
          <w:szCs w:val="20"/>
        </w:rPr>
      </w:pPr>
      <w:r w:rsidRPr="00840E13">
        <w:rPr>
          <w:rFonts w:ascii="Times New Roman" w:hAnsi="Times New Roman"/>
        </w:rPr>
        <w:t xml:space="preserve">Une Commission composée des membres de la société civile, des entreprises et du Gouvernement a été mise en place pour adapter les mesures d’application du Code Minier aux modifications apportées par la </w:t>
      </w:r>
      <w:r w:rsidRPr="00840E13">
        <w:rPr>
          <w:rFonts w:ascii="Times New Roman" w:hAnsi="Times New Roman"/>
          <w:b/>
          <w:i/>
          <w:sz w:val="20"/>
          <w:szCs w:val="20"/>
        </w:rPr>
        <w:t>Loi n°18/001 du 09 mars 2018</w:t>
      </w:r>
      <w:r w:rsidRPr="00840E13">
        <w:rPr>
          <w:rFonts w:ascii="Times New Roman" w:hAnsi="Times New Roman"/>
          <w:i/>
          <w:sz w:val="20"/>
          <w:szCs w:val="20"/>
        </w:rPr>
        <w:t>.</w:t>
      </w:r>
      <w:r w:rsidRPr="00840E13">
        <w:rPr>
          <w:rFonts w:ascii="Times New Roman" w:hAnsi="Times New Roman"/>
          <w:sz w:val="20"/>
          <w:szCs w:val="20"/>
        </w:rPr>
        <w:t xml:space="preserve"> </w:t>
      </w:r>
      <w:r>
        <w:rPr>
          <w:rFonts w:ascii="Times New Roman" w:hAnsi="Times New Roman"/>
          <w:szCs w:val="20"/>
        </w:rPr>
        <w:t>Un  projet de</w:t>
      </w:r>
      <w:r w:rsidRPr="00840E13">
        <w:rPr>
          <w:rFonts w:ascii="Times New Roman" w:hAnsi="Times New Roman"/>
          <w:szCs w:val="20"/>
        </w:rPr>
        <w:t xml:space="preserve"> décret portant Règlement minier</w:t>
      </w:r>
      <w:r>
        <w:rPr>
          <w:rFonts w:ascii="Times New Roman" w:hAnsi="Times New Roman"/>
          <w:szCs w:val="20"/>
        </w:rPr>
        <w:t xml:space="preserve"> a été soumis à la signature </w:t>
      </w:r>
      <w:r w:rsidRPr="00840E13">
        <w:rPr>
          <w:rFonts w:ascii="Times New Roman" w:hAnsi="Times New Roman"/>
          <w:szCs w:val="20"/>
        </w:rPr>
        <w:t>du Premier Ministre</w:t>
      </w:r>
      <w:r>
        <w:rPr>
          <w:rFonts w:ascii="Times New Roman" w:hAnsi="Times New Roman"/>
          <w:szCs w:val="20"/>
        </w:rPr>
        <w:t xml:space="preserve"> et attend sa publication.</w:t>
      </w:r>
    </w:p>
    <w:p w14:paraId="4C6BCDC2" w14:textId="47567732" w:rsidR="00207B98" w:rsidRDefault="00982965" w:rsidP="006443D7">
      <w:pPr>
        <w:spacing w:line="240" w:lineRule="auto"/>
        <w:ind w:left="567" w:right="567"/>
        <w:jc w:val="both"/>
        <w:rPr>
          <w:rFonts w:ascii="Times New Roman" w:hAnsi="Times New Roman"/>
          <w:sz w:val="24"/>
        </w:rPr>
      </w:pPr>
      <w:r>
        <w:rPr>
          <w:noProof/>
          <w:lang w:eastAsia="fr-FR"/>
        </w:rPr>
        <mc:AlternateContent>
          <mc:Choice Requires="wps">
            <w:drawing>
              <wp:anchor distT="0" distB="0" distL="114300" distR="114300" simplePos="0" relativeHeight="251672576" behindDoc="0" locked="0" layoutInCell="1" allowOverlap="1" wp14:anchorId="6BFFD814" wp14:editId="715EDEFD">
                <wp:simplePos x="0" y="0"/>
                <wp:positionH relativeFrom="margin">
                  <wp:align>left</wp:align>
                </wp:positionH>
                <wp:positionV relativeFrom="paragraph">
                  <wp:posOffset>80433</wp:posOffset>
                </wp:positionV>
                <wp:extent cx="5709920" cy="1395412"/>
                <wp:effectExtent l="0" t="0" r="24130" b="14605"/>
                <wp:wrapNone/>
                <wp:docPr id="9" name="Zone de texte 9"/>
                <wp:cNvGraphicFramePr/>
                <a:graphic xmlns:a="http://schemas.openxmlformats.org/drawingml/2006/main">
                  <a:graphicData uri="http://schemas.microsoft.com/office/word/2010/wordprocessingShape">
                    <wps:wsp>
                      <wps:cNvSpPr txBox="1"/>
                      <wps:spPr>
                        <a:xfrm>
                          <a:off x="0" y="0"/>
                          <a:ext cx="5709920" cy="1395412"/>
                        </a:xfrm>
                        <a:prstGeom prst="rect">
                          <a:avLst/>
                        </a:prstGeom>
                        <a:solidFill>
                          <a:schemeClr val="accent1">
                            <a:lumMod val="20000"/>
                            <a:lumOff val="80000"/>
                          </a:schemeClr>
                        </a:solidFill>
                        <a:ln>
                          <a:solidFill>
                            <a:schemeClr val="accent1">
                              <a:lumMod val="20000"/>
                              <a:lumOff val="80000"/>
                            </a:schemeClr>
                          </a:solidFill>
                        </a:ln>
                      </wps:spPr>
                      <wps:style>
                        <a:lnRef idx="1">
                          <a:schemeClr val="accent1"/>
                        </a:lnRef>
                        <a:fillRef idx="2">
                          <a:schemeClr val="accent1"/>
                        </a:fillRef>
                        <a:effectRef idx="1">
                          <a:schemeClr val="accent1"/>
                        </a:effectRef>
                        <a:fontRef idx="minor">
                          <a:schemeClr val="dk1"/>
                        </a:fontRef>
                      </wps:style>
                      <wps:txbx>
                        <w:txbxContent>
                          <w:p w14:paraId="3051BE02" w14:textId="1847EE3F" w:rsidR="00553BF2" w:rsidRPr="0063635F" w:rsidRDefault="00553BF2" w:rsidP="00982965">
                            <w:pPr>
                              <w:rPr>
                                <w:rFonts w:ascii="Times New Roman" w:hAnsi="Times New Roman"/>
                                <w:b/>
                                <w:color w:val="44546A" w:themeColor="text2"/>
                                <w:sz w:val="24"/>
                                <w:szCs w:val="24"/>
                                <w:u w:val="single"/>
                              </w:rPr>
                            </w:pPr>
                            <w:r w:rsidRPr="0063635F">
                              <w:rPr>
                                <w:rFonts w:ascii="Times New Roman" w:hAnsi="Times New Roman"/>
                                <w:b/>
                                <w:color w:val="44546A" w:themeColor="text2"/>
                                <w:sz w:val="24"/>
                                <w:szCs w:val="24"/>
                                <w:u w:val="single"/>
                              </w:rPr>
                              <w:t>Recommandations</w:t>
                            </w:r>
                            <w:r>
                              <w:rPr>
                                <w:rFonts w:ascii="Times New Roman" w:hAnsi="Times New Roman"/>
                                <w:b/>
                                <w:color w:val="44546A" w:themeColor="text2"/>
                                <w:sz w:val="24"/>
                                <w:szCs w:val="24"/>
                              </w:rPr>
                              <w:t xml:space="preserve"> : </w:t>
                            </w:r>
                            <w:r w:rsidRPr="00F32693">
                              <w:rPr>
                                <w:rFonts w:ascii="Times New Roman" w:hAnsi="Times New Roman"/>
                                <w:i/>
                                <w:color w:val="44546A" w:themeColor="text2"/>
                                <w:sz w:val="24"/>
                                <w:szCs w:val="24"/>
                              </w:rPr>
                              <w:t>(2)</w:t>
                            </w:r>
                          </w:p>
                          <w:p w14:paraId="4AF316FC" w14:textId="77777777" w:rsidR="00553BF2" w:rsidRPr="0063635F" w:rsidRDefault="00553BF2" w:rsidP="00982965">
                            <w:pPr>
                              <w:spacing w:after="0" w:line="276" w:lineRule="auto"/>
                              <w:rPr>
                                <w:rFonts w:ascii="Times New Roman" w:eastAsia="Times New Roman" w:hAnsi="Times New Roman"/>
                                <w:color w:val="262626" w:themeColor="text1" w:themeTint="D9"/>
                                <w:sz w:val="24"/>
                                <w:szCs w:val="24"/>
                                <w:lang w:eastAsia="fr-FR"/>
                              </w:rPr>
                            </w:pPr>
                            <w:r w:rsidRPr="0063635F">
                              <w:rPr>
                                <w:rFonts w:ascii="Times New Roman" w:eastAsia="Times New Roman" w:hAnsi="Times New Roman"/>
                                <w:color w:val="262626" w:themeColor="text1" w:themeTint="D9"/>
                                <w:sz w:val="24"/>
                                <w:szCs w:val="24"/>
                                <w:lang w:eastAsia="fr-FR"/>
                              </w:rPr>
                              <w:t>Au Premier Ministre de :</w:t>
                            </w:r>
                          </w:p>
                          <w:p w14:paraId="6AC5AD97" w14:textId="77777777" w:rsidR="00553BF2" w:rsidRPr="0063635F" w:rsidRDefault="00553BF2"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 xml:space="preserve">publier le règlement minier ; </w:t>
                            </w:r>
                          </w:p>
                          <w:p w14:paraId="3CA17736" w14:textId="77777777" w:rsidR="00553BF2" w:rsidRPr="0063635F" w:rsidRDefault="00553BF2"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prendr</w:t>
                            </w:r>
                            <w:r>
                              <w:rPr>
                                <w:rFonts w:ascii="Times New Roman" w:eastAsia="Times New Roman" w:hAnsi="Times New Roman" w:cs="Times New Roman"/>
                                <w:color w:val="262626" w:themeColor="text1" w:themeTint="D9"/>
                                <w:sz w:val="24"/>
                                <w:szCs w:val="24"/>
                                <w:lang w:eastAsia="fr-FR"/>
                              </w:rPr>
                              <w:t xml:space="preserve">e les décrets portant création, </w:t>
                            </w:r>
                            <w:r w:rsidRPr="0063635F">
                              <w:rPr>
                                <w:rFonts w:ascii="Times New Roman" w:eastAsia="Times New Roman" w:hAnsi="Times New Roman" w:cs="Times New Roman"/>
                                <w:color w:val="262626" w:themeColor="text1" w:themeTint="D9"/>
                                <w:sz w:val="24"/>
                                <w:szCs w:val="24"/>
                                <w:lang w:eastAsia="fr-FR"/>
                              </w:rPr>
                              <w:t>organisation et fonctionnement des organismes publics chargés de gérer respectivement  la Caisse Nationale de Péréquation et les Fonds pour les générations futures (secteurs minier et pétrolier).</w:t>
                            </w:r>
                          </w:p>
                          <w:p w14:paraId="1967281D" w14:textId="77777777" w:rsidR="00553BF2" w:rsidRDefault="00553BF2" w:rsidP="0098296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FD814" id="_x0000_t202" coordsize="21600,21600" o:spt="202" path="m,l,21600r21600,l21600,xe">
                <v:stroke joinstyle="miter"/>
                <v:path gradientshapeok="t" o:connecttype="rect"/>
              </v:shapetype>
              <v:shape id="Zone de texte 9" o:spid="_x0000_s1026" type="#_x0000_t202" style="position:absolute;left:0;text-align:left;margin-left:0;margin-top:6.35pt;width:449.6pt;height:109.8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" fillcolor="#deeaf6 [660]" strokecolor="#deeaf6 [660]" strokeweight=".5pt">
                <v:textbox>
                  <w:txbxContent>
                    <w:p w14:paraId="3051BE02" w14:textId="1847EE3F" w:rsidR="00553BF2" w:rsidRPr="0063635F" w:rsidRDefault="00553BF2" w:rsidP="00982965">
                      <w:pPr>
                        <w:rPr>
                          <w:rFonts w:ascii="Times New Roman" w:hAnsi="Times New Roman"/>
                          <w:b/>
                          <w:color w:val="44546A" w:themeColor="text2"/>
                          <w:sz w:val="24"/>
                          <w:szCs w:val="24"/>
                          <w:u w:val="single"/>
                        </w:rPr>
                      </w:pPr>
                      <w:r w:rsidRPr="0063635F">
                        <w:rPr>
                          <w:rFonts w:ascii="Times New Roman" w:hAnsi="Times New Roman"/>
                          <w:b/>
                          <w:color w:val="44546A" w:themeColor="text2"/>
                          <w:sz w:val="24"/>
                          <w:szCs w:val="24"/>
                          <w:u w:val="single"/>
                        </w:rPr>
                        <w:t>Recommandations</w:t>
                      </w:r>
                      <w:r>
                        <w:rPr>
                          <w:rFonts w:ascii="Times New Roman" w:hAnsi="Times New Roman"/>
                          <w:b/>
                          <w:color w:val="44546A" w:themeColor="text2"/>
                          <w:sz w:val="24"/>
                          <w:szCs w:val="24"/>
                        </w:rPr>
                        <w:t xml:space="preserve"> : </w:t>
                      </w:r>
                      <w:r w:rsidRPr="00F32693">
                        <w:rPr>
                          <w:rFonts w:ascii="Times New Roman" w:hAnsi="Times New Roman"/>
                          <w:i/>
                          <w:color w:val="44546A" w:themeColor="text2"/>
                          <w:sz w:val="24"/>
                          <w:szCs w:val="24"/>
                        </w:rPr>
                        <w:t>(2)</w:t>
                      </w:r>
                    </w:p>
                    <w:p w14:paraId="4AF316FC" w14:textId="77777777" w:rsidR="00553BF2" w:rsidRPr="0063635F" w:rsidRDefault="00553BF2" w:rsidP="00982965">
                      <w:pPr>
                        <w:spacing w:after="0" w:line="276" w:lineRule="auto"/>
                        <w:rPr>
                          <w:rFonts w:ascii="Times New Roman" w:eastAsia="Times New Roman" w:hAnsi="Times New Roman"/>
                          <w:color w:val="262626" w:themeColor="text1" w:themeTint="D9"/>
                          <w:sz w:val="24"/>
                          <w:szCs w:val="24"/>
                          <w:lang w:eastAsia="fr-FR"/>
                        </w:rPr>
                      </w:pPr>
                      <w:r w:rsidRPr="0063635F">
                        <w:rPr>
                          <w:rFonts w:ascii="Times New Roman" w:eastAsia="Times New Roman" w:hAnsi="Times New Roman"/>
                          <w:color w:val="262626" w:themeColor="text1" w:themeTint="D9"/>
                          <w:sz w:val="24"/>
                          <w:szCs w:val="24"/>
                          <w:lang w:eastAsia="fr-FR"/>
                        </w:rPr>
                        <w:t>Au Premier Ministre de :</w:t>
                      </w:r>
                    </w:p>
                    <w:p w14:paraId="6AC5AD97" w14:textId="77777777" w:rsidR="00553BF2" w:rsidRPr="0063635F" w:rsidRDefault="00553BF2"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 xml:space="preserve">publier le règlement minier ; </w:t>
                      </w:r>
                    </w:p>
                    <w:p w14:paraId="3CA17736" w14:textId="77777777" w:rsidR="00553BF2" w:rsidRPr="0063635F" w:rsidRDefault="00553BF2" w:rsidP="00982965">
                      <w:pPr>
                        <w:pStyle w:val="Paragraphedeliste"/>
                        <w:numPr>
                          <w:ilvl w:val="0"/>
                          <w:numId w:val="57"/>
                        </w:numPr>
                        <w:spacing w:after="0" w:line="240" w:lineRule="auto"/>
                        <w:jc w:val="both"/>
                        <w:rPr>
                          <w:rFonts w:ascii="Times New Roman" w:eastAsia="Times New Roman" w:hAnsi="Times New Roman" w:cs="Times New Roman"/>
                          <w:color w:val="262626" w:themeColor="text1" w:themeTint="D9"/>
                          <w:sz w:val="24"/>
                          <w:szCs w:val="24"/>
                          <w:lang w:eastAsia="fr-FR"/>
                        </w:rPr>
                      </w:pPr>
                      <w:r w:rsidRPr="0063635F">
                        <w:rPr>
                          <w:rFonts w:ascii="Times New Roman" w:eastAsia="Times New Roman" w:hAnsi="Times New Roman" w:cs="Times New Roman"/>
                          <w:color w:val="262626" w:themeColor="text1" w:themeTint="D9"/>
                          <w:sz w:val="24"/>
                          <w:szCs w:val="24"/>
                          <w:lang w:eastAsia="fr-FR"/>
                        </w:rPr>
                        <w:t>prendr</w:t>
                      </w:r>
                      <w:r>
                        <w:rPr>
                          <w:rFonts w:ascii="Times New Roman" w:eastAsia="Times New Roman" w:hAnsi="Times New Roman" w:cs="Times New Roman"/>
                          <w:color w:val="262626" w:themeColor="text1" w:themeTint="D9"/>
                          <w:sz w:val="24"/>
                          <w:szCs w:val="24"/>
                          <w:lang w:eastAsia="fr-FR"/>
                        </w:rPr>
                        <w:t xml:space="preserve">e les décrets portant création, </w:t>
                      </w:r>
                      <w:r w:rsidRPr="0063635F">
                        <w:rPr>
                          <w:rFonts w:ascii="Times New Roman" w:eastAsia="Times New Roman" w:hAnsi="Times New Roman" w:cs="Times New Roman"/>
                          <w:color w:val="262626" w:themeColor="text1" w:themeTint="D9"/>
                          <w:sz w:val="24"/>
                          <w:szCs w:val="24"/>
                          <w:lang w:eastAsia="fr-FR"/>
                        </w:rPr>
                        <w:t>organisation et fonctionnement des organismes publics chargés de gérer respectivement  la Caisse Nationale de Péréquation et les Fonds pour les générations futures (secteurs minier et pétrolier).</w:t>
                      </w:r>
                    </w:p>
                    <w:p w14:paraId="1967281D" w14:textId="77777777" w:rsidR="00553BF2" w:rsidRDefault="00553BF2" w:rsidP="00982965">
                      <w:pPr>
                        <w:jc w:val="both"/>
                      </w:pPr>
                    </w:p>
                  </w:txbxContent>
                </v:textbox>
                <w10:wrap anchorx="margin"/>
              </v:shape>
            </w:pict>
          </mc:Fallback>
        </mc:AlternateContent>
      </w:r>
      <w:r w:rsidR="00207B98" w:rsidRPr="00840E13">
        <w:rPr>
          <w:rFonts w:ascii="Times New Roman" w:hAnsi="Times New Roman"/>
          <w:b/>
          <w:i/>
          <w:szCs w:val="20"/>
        </w:rPr>
        <w:t xml:space="preserve"> </w:t>
      </w:r>
      <w:r w:rsidR="00207B98" w:rsidRPr="00840E13">
        <w:rPr>
          <w:rFonts w:ascii="Times New Roman" w:hAnsi="Times New Roman"/>
          <w:szCs w:val="20"/>
        </w:rPr>
        <w:t xml:space="preserve"> </w:t>
      </w:r>
      <w:r w:rsidR="00207B98" w:rsidRPr="00840E13">
        <w:rPr>
          <w:rFonts w:ascii="Times New Roman" w:hAnsi="Times New Roman"/>
          <w:sz w:val="24"/>
        </w:rPr>
        <w:t xml:space="preserve"> </w:t>
      </w:r>
    </w:p>
    <w:p w14:paraId="5DF7DC6E" w14:textId="3C3D7D08" w:rsidR="00982965" w:rsidRDefault="00982965" w:rsidP="006443D7">
      <w:pPr>
        <w:spacing w:line="240" w:lineRule="auto"/>
        <w:ind w:left="567" w:right="567"/>
        <w:jc w:val="both"/>
        <w:rPr>
          <w:rFonts w:ascii="Times New Roman" w:hAnsi="Times New Roman"/>
          <w:sz w:val="24"/>
        </w:rPr>
      </w:pPr>
    </w:p>
    <w:p w14:paraId="5BF21EF8" w14:textId="6E4F6ADD" w:rsidR="00982965" w:rsidRDefault="00982965" w:rsidP="006443D7">
      <w:pPr>
        <w:spacing w:line="240" w:lineRule="auto"/>
        <w:ind w:left="567" w:right="567"/>
        <w:jc w:val="both"/>
        <w:rPr>
          <w:rFonts w:ascii="Times New Roman" w:hAnsi="Times New Roman"/>
          <w:sz w:val="24"/>
        </w:rPr>
      </w:pPr>
    </w:p>
    <w:p w14:paraId="729AF312" w14:textId="77777777" w:rsidR="00982965" w:rsidRDefault="00982965" w:rsidP="006443D7">
      <w:pPr>
        <w:spacing w:line="240" w:lineRule="auto"/>
        <w:ind w:left="567" w:right="567"/>
        <w:jc w:val="both"/>
        <w:rPr>
          <w:rFonts w:ascii="Times New Roman" w:hAnsi="Times New Roman"/>
          <w:sz w:val="24"/>
        </w:rPr>
      </w:pPr>
    </w:p>
    <w:p w14:paraId="3D6BF7B8" w14:textId="77777777" w:rsidR="00982965" w:rsidRDefault="00982965" w:rsidP="006443D7">
      <w:pPr>
        <w:spacing w:line="240" w:lineRule="auto"/>
        <w:ind w:left="567" w:right="567"/>
        <w:jc w:val="both"/>
        <w:rPr>
          <w:rFonts w:ascii="Times New Roman" w:hAnsi="Times New Roman"/>
          <w:sz w:val="24"/>
        </w:rPr>
      </w:pPr>
    </w:p>
    <w:p w14:paraId="720B232F" w14:textId="1E21884E" w:rsidR="00982965" w:rsidRPr="00840E13" w:rsidRDefault="00982965" w:rsidP="006443D7">
      <w:pPr>
        <w:spacing w:line="240" w:lineRule="auto"/>
        <w:ind w:left="567" w:right="567"/>
        <w:jc w:val="both"/>
        <w:rPr>
          <w:rFonts w:ascii="Times New Roman" w:hAnsi="Times New Roman"/>
          <w:sz w:val="24"/>
        </w:rPr>
      </w:pPr>
    </w:p>
    <w:p w14:paraId="5EC162C4" w14:textId="7A4976BB" w:rsidR="00207B98" w:rsidRPr="00344D92" w:rsidRDefault="00207B98" w:rsidP="00344D92">
      <w:pPr>
        <w:pStyle w:val="Titre2"/>
        <w:spacing w:line="276" w:lineRule="auto"/>
        <w:rPr>
          <w:rFonts w:ascii="Times New Roman" w:hAnsi="Times New Roman" w:cs="Times New Roman"/>
          <w:sz w:val="24"/>
          <w:szCs w:val="24"/>
        </w:rPr>
      </w:pPr>
      <w:bookmarkStart w:id="105" w:name="_Toc515792944"/>
      <w:bookmarkStart w:id="106" w:name="_Toc515793183"/>
      <w:bookmarkStart w:id="107" w:name="_Toc518135501"/>
      <w:bookmarkStart w:id="108" w:name="_Toc518468065"/>
      <w:r w:rsidRPr="00344D92">
        <w:rPr>
          <w:rFonts w:ascii="Times New Roman" w:hAnsi="Times New Roman" w:cs="Times New Roman"/>
          <w:sz w:val="24"/>
          <w:szCs w:val="24"/>
        </w:rPr>
        <w:t xml:space="preserve">I.3. </w:t>
      </w:r>
      <w:r w:rsidR="00AA5F3F" w:rsidRPr="00344D92">
        <w:rPr>
          <w:rFonts w:ascii="Times New Roman" w:hAnsi="Times New Roman" w:cs="Times New Roman"/>
          <w:caps w:val="0"/>
          <w:sz w:val="24"/>
          <w:szCs w:val="24"/>
        </w:rPr>
        <w:t>Tableau de description des flux</w:t>
      </w:r>
      <w:bookmarkEnd w:id="105"/>
      <w:bookmarkEnd w:id="106"/>
      <w:bookmarkEnd w:id="107"/>
      <w:bookmarkEnd w:id="108"/>
    </w:p>
    <w:p w14:paraId="3BF6EA7F" w14:textId="77777777" w:rsidR="00207B98" w:rsidRPr="00840E13" w:rsidRDefault="00207B98" w:rsidP="00207B98">
      <w:pPr>
        <w:spacing w:after="0" w:line="240" w:lineRule="auto"/>
        <w:ind w:left="1418" w:right="567"/>
        <w:jc w:val="both"/>
        <w:rPr>
          <w:rFonts w:ascii="Times New Roman" w:hAnsi="Times New Roman"/>
          <w:sz w:val="8"/>
          <w:szCs w:val="8"/>
        </w:rPr>
      </w:pPr>
    </w:p>
    <w:p w14:paraId="0A8ED631" w14:textId="45933523"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Le tableau de description des flux posté sur le site web de l’ITIE-RDC</w:t>
      </w:r>
      <w:r w:rsidRPr="00344D92">
        <w:rPr>
          <w:rStyle w:val="Appelnotedebasdep"/>
          <w:rFonts w:ascii="Times New Roman" w:hAnsi="Times New Roman"/>
          <w:sz w:val="24"/>
          <w:szCs w:val="24"/>
        </w:rPr>
        <w:footnoteReference w:id="16"/>
      </w:r>
      <w:r w:rsidRPr="00344D92">
        <w:rPr>
          <w:rFonts w:ascii="Times New Roman" w:hAnsi="Times New Roman"/>
          <w:sz w:val="24"/>
          <w:szCs w:val="24"/>
        </w:rPr>
        <w:t xml:space="preserve"> est un </w:t>
      </w:r>
      <w:hyperlink r:id="rId26" w:history="1">
        <w:r w:rsidRPr="00344D92">
          <w:rPr>
            <w:rStyle w:val="Lienhypertexte"/>
            <w:rFonts w:ascii="Times New Roman" w:hAnsi="Times New Roman"/>
            <w:b/>
            <w:sz w:val="24"/>
            <w:szCs w:val="24"/>
          </w:rPr>
          <w:t>Classeur</w:t>
        </w:r>
      </w:hyperlink>
      <w:r w:rsidRPr="00344D92">
        <w:rPr>
          <w:rFonts w:ascii="Times New Roman" w:hAnsi="Times New Roman"/>
          <w:color w:val="0070C0"/>
          <w:sz w:val="24"/>
          <w:szCs w:val="24"/>
        </w:rPr>
        <w:t xml:space="preserve"> </w:t>
      </w:r>
      <w:r w:rsidRPr="00344D92">
        <w:rPr>
          <w:rFonts w:ascii="Times New Roman" w:hAnsi="Times New Roman"/>
          <w:sz w:val="24"/>
          <w:szCs w:val="24"/>
        </w:rPr>
        <w:t xml:space="preserve">de trois feuilles contenant respectivement les flux des revenus nationaux, infranationaux et ceux encadrés par les entreprises du portefeuille de l’Etat (EPE). </w:t>
      </w:r>
    </w:p>
    <w:p w14:paraId="24BBD74A" w14:textId="347566FB"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 xml:space="preserve">Chaque tableau comprend neuf colonnes renseignant sur : l’agence collectrice, la dénomination du flux, sa source légale, sa base de taxation, le taux de taxation, les catégories d’entreprises assujetties (selon qu’elles sont en exploration ou en production), la raison d’inclusion du flux dans le référentiel de 2016 et son mode de déclaration à l’ITIE-RDC 2016. </w:t>
      </w:r>
    </w:p>
    <w:p w14:paraId="553F0248" w14:textId="77777777"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sz w:val="24"/>
          <w:szCs w:val="24"/>
        </w:rPr>
        <w:t>Cette description des flux vise à apporter au public une information simple et compréhensible sur la structuration et l’organisation de la fiscalité en RDC, information susceptible d’éclairer les parties prenantes lors du débat sur les revenus du secteur extractif. C’est aussi un outil d’analyse à la disposition des investisseurs potentiels.</w:t>
      </w:r>
    </w:p>
    <w:p w14:paraId="6D475A2C" w14:textId="77777777" w:rsidR="00207B98" w:rsidRPr="00344D92" w:rsidRDefault="00207B98" w:rsidP="00344D92">
      <w:pPr>
        <w:spacing w:line="240" w:lineRule="auto"/>
        <w:ind w:right="567"/>
        <w:jc w:val="both"/>
        <w:rPr>
          <w:rFonts w:ascii="Times New Roman" w:hAnsi="Times New Roman"/>
          <w:sz w:val="24"/>
          <w:szCs w:val="24"/>
        </w:rPr>
      </w:pPr>
      <w:r w:rsidRPr="00344D92">
        <w:rPr>
          <w:rFonts w:ascii="Times New Roman" w:hAnsi="Times New Roman"/>
          <w:b/>
          <w:sz w:val="24"/>
          <w:szCs w:val="24"/>
        </w:rPr>
        <w:t>Limitation</w:t>
      </w:r>
      <w:r w:rsidRPr="00344D92">
        <w:rPr>
          <w:rFonts w:ascii="Times New Roman" w:hAnsi="Times New Roman"/>
          <w:sz w:val="24"/>
          <w:szCs w:val="24"/>
        </w:rPr>
        <w:t xml:space="preserve"> : Ce tableau ne reprend que les flux du référentiel 2016 et donc exclut les flux du secteur de l’artisanat minier. </w:t>
      </w:r>
    </w:p>
    <w:p w14:paraId="7EFD2F1B" w14:textId="6FAC272D" w:rsidR="00AA1F5B" w:rsidRPr="00AA1F5B" w:rsidRDefault="00AA1F5B" w:rsidP="00EE2A5B">
      <w:pPr>
        <w:pStyle w:val="Titre1"/>
        <w:numPr>
          <w:ilvl w:val="0"/>
          <w:numId w:val="4"/>
        </w:numPr>
        <w:spacing w:before="0" w:after="0" w:line="360" w:lineRule="auto"/>
        <w:ind w:left="426" w:right="1" w:hanging="425"/>
        <w:contextualSpacing w:val="0"/>
        <w:rPr>
          <w:rFonts w:ascii="Times New Roman" w:hAnsi="Times New Roman" w:cs="Times New Roman"/>
          <w:sz w:val="28"/>
          <w:szCs w:val="28"/>
        </w:rPr>
      </w:pPr>
      <w:bookmarkStart w:id="109" w:name="_Toc518468066"/>
      <w:r w:rsidRPr="00AA1F5B">
        <w:rPr>
          <w:rFonts w:ascii="Times New Roman" w:hAnsi="Times New Roman" w:cs="Times New Roman"/>
          <w:sz w:val="28"/>
          <w:szCs w:val="28"/>
        </w:rPr>
        <w:lastRenderedPageBreak/>
        <w:t xml:space="preserve">OCTROI </w:t>
      </w:r>
      <w:r w:rsidR="00B41722" w:rsidRPr="00AA1F5B">
        <w:rPr>
          <w:rFonts w:ascii="Times New Roman" w:hAnsi="Times New Roman" w:cs="Times New Roman"/>
          <w:caps w:val="0"/>
          <w:sz w:val="28"/>
          <w:szCs w:val="28"/>
        </w:rPr>
        <w:t>DES</w:t>
      </w:r>
      <w:r w:rsidRPr="00AA1F5B">
        <w:rPr>
          <w:rFonts w:ascii="Times New Roman" w:hAnsi="Times New Roman" w:cs="Times New Roman"/>
          <w:sz w:val="28"/>
          <w:szCs w:val="28"/>
        </w:rPr>
        <w:t xml:space="preserve"> DROITS MINIERS ET PETROLIERS</w:t>
      </w:r>
      <w:bookmarkEnd w:id="109"/>
    </w:p>
    <w:p w14:paraId="2AB9F9DF" w14:textId="410357F8" w:rsidR="00C579DE" w:rsidRPr="00840E13" w:rsidRDefault="00C579DE" w:rsidP="00C579DE">
      <w:pPr>
        <w:pStyle w:val="Titre2"/>
        <w:jc w:val="both"/>
        <w:rPr>
          <w:rFonts w:ascii="Times New Roman" w:hAnsi="Times New Roman" w:cs="Times New Roman"/>
          <w:bCs/>
          <w:color w:val="0070C0"/>
          <w:sz w:val="24"/>
          <w:szCs w:val="24"/>
        </w:rPr>
      </w:pPr>
      <w:bookmarkStart w:id="110" w:name="_Toc518468067"/>
      <w:r>
        <w:rPr>
          <w:rFonts w:ascii="Times New Roman" w:hAnsi="Times New Roman" w:cs="Times New Roman"/>
          <w:sz w:val="24"/>
          <w:szCs w:val="24"/>
        </w:rPr>
        <w:t xml:space="preserve">II.1. </w:t>
      </w:r>
      <w:r w:rsidR="008A3C1F" w:rsidRPr="00840E13">
        <w:rPr>
          <w:rFonts w:ascii="Times New Roman" w:hAnsi="Times New Roman" w:cs="Times New Roman"/>
          <w:caps w:val="0"/>
          <w:sz w:val="24"/>
          <w:szCs w:val="24"/>
        </w:rPr>
        <w:t xml:space="preserve">Procédure d’octroi des droits </w:t>
      </w:r>
      <w:bookmarkEnd w:id="4"/>
      <w:r w:rsidR="008A3C1F" w:rsidRPr="00840E13">
        <w:rPr>
          <w:rFonts w:ascii="Times New Roman" w:hAnsi="Times New Roman" w:cs="Times New Roman"/>
          <w:caps w:val="0"/>
          <w:sz w:val="24"/>
          <w:szCs w:val="24"/>
        </w:rPr>
        <w:t>pétroliers</w:t>
      </w:r>
      <w:bookmarkEnd w:id="110"/>
    </w:p>
    <w:p w14:paraId="3BB3A94B" w14:textId="77777777" w:rsidR="00C579DE" w:rsidRPr="00E10AFD" w:rsidRDefault="00C579DE" w:rsidP="000738D3">
      <w:pPr>
        <w:pStyle w:val="Paragraphedeliste"/>
        <w:numPr>
          <w:ilvl w:val="0"/>
          <w:numId w:val="63"/>
        </w:numPr>
        <w:ind w:left="709"/>
        <w:rPr>
          <w:rFonts w:ascii="Times New Roman" w:hAnsi="Times New Roman"/>
          <w:b/>
          <w:bCs/>
          <w:i/>
          <w:iCs/>
          <w:color w:val="5B9BD5" w:themeColor="accent1"/>
          <w:sz w:val="24"/>
          <w:szCs w:val="24"/>
        </w:rPr>
      </w:pPr>
      <w:bookmarkStart w:id="111" w:name="_Toc516047980"/>
      <w:r w:rsidRPr="00E10AFD">
        <w:rPr>
          <w:rFonts w:ascii="Times New Roman" w:hAnsi="Times New Roman"/>
          <w:b/>
          <w:i/>
          <w:color w:val="5B9BD5" w:themeColor="accent1"/>
          <w:sz w:val="24"/>
          <w:szCs w:val="24"/>
        </w:rPr>
        <w:t>Attribution de l’autorisation de prospection</w:t>
      </w:r>
      <w:bookmarkEnd w:id="111"/>
      <w:r w:rsidRPr="00E10AFD">
        <w:rPr>
          <w:rFonts w:ascii="Times New Roman" w:hAnsi="Times New Roman"/>
          <w:b/>
          <w:i/>
          <w:color w:val="5B9BD5" w:themeColor="accent1"/>
          <w:sz w:val="24"/>
          <w:szCs w:val="24"/>
        </w:rPr>
        <w:t xml:space="preserve">    </w:t>
      </w:r>
    </w:p>
    <w:p w14:paraId="76726E72"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sz w:val="24"/>
          <w:szCs w:val="24"/>
        </w:rPr>
      </w:pPr>
      <w:r w:rsidRPr="00840E13">
        <w:rPr>
          <w:rFonts w:ascii="Times New Roman" w:eastAsiaTheme="minorHAnsi" w:hAnsi="Times New Roman"/>
          <w:color w:val="252525"/>
          <w:sz w:val="24"/>
          <w:szCs w:val="24"/>
        </w:rPr>
        <w:t>Conformément aux articles 25 à 3</w:t>
      </w:r>
      <w:r>
        <w:rPr>
          <w:rFonts w:ascii="Times New Roman" w:eastAsiaTheme="minorHAnsi" w:hAnsi="Times New Roman"/>
          <w:color w:val="252525"/>
          <w:sz w:val="24"/>
          <w:szCs w:val="24"/>
        </w:rPr>
        <w:t>2</w:t>
      </w:r>
      <w:r w:rsidRPr="00840E13">
        <w:rPr>
          <w:rFonts w:ascii="Times New Roman" w:eastAsiaTheme="minorHAnsi" w:hAnsi="Times New Roman"/>
          <w:color w:val="252525"/>
          <w:sz w:val="24"/>
          <w:szCs w:val="24"/>
        </w:rPr>
        <w:t xml:space="preserve"> du Code des Hydrocarbures et 50 à 59 du Règlement d’hydrocarbures, l'autorisation de prospection est accordée, par arrêté du Ministre ayant les Hydrocarbures dans ses attributions, à toute personne morale de droit congolais ou de droit étranger</w:t>
      </w:r>
      <w:r w:rsidRPr="00840E13">
        <w:rPr>
          <w:rFonts w:ascii="Times New Roman" w:eastAsiaTheme="minorHAnsi" w:hAnsi="Times New Roman"/>
          <w:sz w:val="24"/>
          <w:szCs w:val="24"/>
        </w:rPr>
        <w:t xml:space="preserve"> </w:t>
      </w:r>
      <w:r w:rsidRPr="00840E13">
        <w:rPr>
          <w:rFonts w:ascii="Times New Roman" w:eastAsiaTheme="minorHAnsi" w:hAnsi="Times New Roman"/>
          <w:color w:val="252525"/>
          <w:sz w:val="24"/>
          <w:szCs w:val="24"/>
        </w:rPr>
        <w:t>ayant souscrit au cahier des charges dûment établi à cet effet et présenté une étude d'impact environnemental.</w:t>
      </w:r>
      <w:r w:rsidRPr="00840E13">
        <w:rPr>
          <w:rFonts w:ascii="Times New Roman" w:eastAsiaTheme="minorHAnsi" w:hAnsi="Times New Roman"/>
          <w:sz w:val="24"/>
          <w:szCs w:val="24"/>
        </w:rPr>
        <w:t xml:space="preserve"> </w:t>
      </w:r>
    </w:p>
    <w:p w14:paraId="1F040134"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L'autorisation de prospection confère à son bénéficiaire, dans un bassin sédimentaire déterminé, le droit non exclusif d'effectuer des travaux définis par la loi.</w:t>
      </w:r>
    </w:p>
    <w:p w14:paraId="77AEF00B"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sz w:val="24"/>
          <w:szCs w:val="24"/>
        </w:rPr>
      </w:pPr>
      <w:r w:rsidRPr="00840E13">
        <w:rPr>
          <w:rFonts w:ascii="Times New Roman" w:eastAsiaTheme="minorHAnsi" w:hAnsi="Times New Roman"/>
          <w:color w:val="252525"/>
          <w:sz w:val="24"/>
          <w:szCs w:val="24"/>
        </w:rPr>
        <w:t>Elle est valable pour une durée de douze mois, renouvelable une seule fois pour une durée de six mois.</w:t>
      </w:r>
    </w:p>
    <w:p w14:paraId="0D3BD321"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Elle n'est ni cessible, ni transmissible.</w:t>
      </w:r>
    </w:p>
    <w:p w14:paraId="4B1F59A7" w14:textId="77777777" w:rsidR="00C579DE" w:rsidRPr="00840E13" w:rsidRDefault="00C579DE" w:rsidP="00AA1F5B">
      <w:pPr>
        <w:autoSpaceDE w:val="0"/>
        <w:autoSpaceDN w:val="0"/>
        <w:adjustRightInd w:val="0"/>
        <w:spacing w:after="0"/>
        <w:ind w:left="284"/>
        <w:jc w:val="both"/>
        <w:rPr>
          <w:rFonts w:ascii="Times New Roman" w:eastAsiaTheme="minorHAnsi" w:hAnsi="Times New Roman"/>
          <w:bCs/>
          <w:color w:val="252525"/>
          <w:sz w:val="24"/>
          <w:szCs w:val="24"/>
        </w:rPr>
      </w:pPr>
      <w:r w:rsidRPr="00840E13">
        <w:rPr>
          <w:rFonts w:ascii="Times New Roman" w:eastAsiaTheme="minorHAnsi" w:hAnsi="Times New Roman"/>
          <w:color w:val="252525"/>
          <w:sz w:val="24"/>
          <w:szCs w:val="24"/>
        </w:rPr>
        <w:t>Le contenu du cahier des charges est donné à l’article 54 du Règlement d’hydrocarbures.</w:t>
      </w:r>
    </w:p>
    <w:p w14:paraId="0CBF2C25" w14:textId="77777777" w:rsidR="00C579DE" w:rsidRPr="00840E13" w:rsidRDefault="00C579DE" w:rsidP="00AA1F5B">
      <w:pPr>
        <w:pStyle w:val="Paragraphedeliste"/>
        <w:ind w:left="284"/>
        <w:jc w:val="both"/>
        <w:rPr>
          <w:rFonts w:ascii="Times New Roman" w:hAnsi="Times New Roman" w:cs="Times New Roman"/>
          <w:sz w:val="24"/>
          <w:szCs w:val="24"/>
        </w:rPr>
      </w:pPr>
      <w:r w:rsidRPr="00840E13">
        <w:rPr>
          <w:rFonts w:ascii="Times New Roman" w:hAnsi="Times New Roman" w:cs="Times New Roman"/>
          <w:sz w:val="24"/>
          <w:szCs w:val="24"/>
        </w:rPr>
        <w:t>A l’issue des travaux de prospection dument exécutés, le bénéficiaire de l’autorisation de prospection est pré-qualifié pour la procédure d’appel d’offres en vue de l’obtention du droit d’exploration ou d’exploitation.</w:t>
      </w:r>
    </w:p>
    <w:p w14:paraId="1D0D3E11" w14:textId="77777777" w:rsidR="00C579DE" w:rsidRPr="00840E13" w:rsidRDefault="00C579DE" w:rsidP="00AA1F5B">
      <w:pPr>
        <w:pStyle w:val="Paragraphedeliste"/>
        <w:ind w:left="284"/>
        <w:jc w:val="both"/>
        <w:rPr>
          <w:rFonts w:ascii="Times New Roman" w:hAnsi="Times New Roman" w:cs="Times New Roman"/>
          <w:sz w:val="24"/>
          <w:szCs w:val="24"/>
        </w:rPr>
      </w:pPr>
      <w:r w:rsidRPr="00840E13">
        <w:rPr>
          <w:rFonts w:ascii="Times New Roman" w:hAnsi="Times New Roman" w:cs="Times New Roman"/>
          <w:sz w:val="24"/>
          <w:szCs w:val="24"/>
        </w:rPr>
        <w:t xml:space="preserve">Toutes les données brutes ainsi que les échantillons issus de la prospection sont la propriété exclusive de l’Etat. </w:t>
      </w:r>
    </w:p>
    <w:p w14:paraId="2012D59D"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2" w:name="_Toc516047981"/>
      <w:r w:rsidRPr="00E10AFD">
        <w:rPr>
          <w:rFonts w:ascii="Times New Roman" w:hAnsi="Times New Roman"/>
          <w:b/>
          <w:i/>
          <w:color w:val="5B9BD5" w:themeColor="accent1"/>
          <w:sz w:val="24"/>
          <w:szCs w:val="24"/>
        </w:rPr>
        <w:t>Attribution des droits d’exploration et d’exploitation</w:t>
      </w:r>
      <w:bookmarkEnd w:id="112"/>
    </w:p>
    <w:p w14:paraId="0D99ADCC" w14:textId="77777777" w:rsidR="00C579DE" w:rsidRPr="00840E13" w:rsidRDefault="00C579DE" w:rsidP="00AA1F5B">
      <w:pPr>
        <w:autoSpaceDE w:val="0"/>
        <w:autoSpaceDN w:val="0"/>
        <w:adjustRightInd w:val="0"/>
        <w:spacing w:after="0"/>
        <w:ind w:left="284"/>
        <w:jc w:val="both"/>
        <w:rPr>
          <w:rFonts w:ascii="Times New Roman" w:hAnsi="Times New Roman"/>
          <w:color w:val="343434"/>
          <w:sz w:val="24"/>
          <w:szCs w:val="24"/>
        </w:rPr>
      </w:pPr>
      <w:r w:rsidRPr="00840E13">
        <w:rPr>
          <w:rFonts w:ascii="Times New Roman" w:eastAsiaTheme="minorHAnsi" w:hAnsi="Times New Roman"/>
          <w:color w:val="252525"/>
          <w:sz w:val="24"/>
          <w:szCs w:val="24"/>
        </w:rPr>
        <w:t>L’octroi des droits d’exploration et d’exploitation des hydrocarbures s’effectuait dans le passé soit par voie d’appel d’offres ou selon la procédure de demande de droits. Mais, depuis la publication de la Loi n°15/012 du 1</w:t>
      </w:r>
      <w:r w:rsidRPr="00840E13">
        <w:rPr>
          <w:rFonts w:ascii="Times New Roman" w:eastAsiaTheme="minorHAnsi" w:hAnsi="Times New Roman"/>
          <w:color w:val="252525"/>
          <w:sz w:val="24"/>
          <w:szCs w:val="24"/>
          <w:vertAlign w:val="superscript"/>
        </w:rPr>
        <w:t>er</w:t>
      </w:r>
      <w:r w:rsidRPr="00840E13">
        <w:rPr>
          <w:rFonts w:ascii="Times New Roman" w:eastAsiaTheme="minorHAnsi" w:hAnsi="Times New Roman"/>
          <w:color w:val="252525"/>
          <w:sz w:val="24"/>
          <w:szCs w:val="24"/>
        </w:rPr>
        <w:t xml:space="preserve"> août 2015 portant régime général des hydrocarbures, seule la procédure par voie d’appel d’offres est applicable pour l’octroi des droits d’exploration et d’exploitation des hydrocarbures en République Démocratique du Congo</w:t>
      </w:r>
      <w:r w:rsidRPr="00840E13">
        <w:rPr>
          <w:rFonts w:ascii="Times New Roman" w:hAnsi="Times New Roman"/>
          <w:sz w:val="24"/>
          <w:szCs w:val="24"/>
        </w:rPr>
        <w:t>.</w:t>
      </w:r>
    </w:p>
    <w:p w14:paraId="5BAD22B4" w14:textId="77777777" w:rsidR="00C579DE" w:rsidRPr="00840E13" w:rsidRDefault="00C579DE" w:rsidP="00C579DE">
      <w:pPr>
        <w:spacing w:after="120"/>
        <w:jc w:val="both"/>
        <w:rPr>
          <w:rFonts w:ascii="Times New Roman" w:hAnsi="Times New Roman"/>
          <w:sz w:val="24"/>
          <w:szCs w:val="24"/>
        </w:rPr>
      </w:pPr>
    </w:p>
    <w:p w14:paraId="1C194B0E" w14:textId="77777777" w:rsidR="00C579DE" w:rsidRPr="00840E13" w:rsidRDefault="00C579DE" w:rsidP="00C579DE">
      <w:pPr>
        <w:pStyle w:val="Titre4"/>
        <w:ind w:firstLine="567"/>
        <w:rPr>
          <w:rFonts w:ascii="Times New Roman" w:hAnsi="Times New Roman" w:cs="Times New Roman"/>
          <w:b/>
          <w:sz w:val="24"/>
          <w:szCs w:val="24"/>
        </w:rPr>
      </w:pPr>
      <w:r w:rsidRPr="00840E13">
        <w:rPr>
          <w:rFonts w:ascii="Times New Roman" w:hAnsi="Times New Roman" w:cs="Times New Roman"/>
          <w:b/>
          <w:sz w:val="24"/>
          <w:szCs w:val="24"/>
        </w:rPr>
        <w:t>Octroi par Appel d’Offres</w:t>
      </w:r>
    </w:p>
    <w:p w14:paraId="11610EA3"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Conformément aux articles 35 à 39 du Code des Hydrocarbures en vigueur, le Ministre des Hydrocarbures met en concurrence les personnes morales de droit congolais ou étranger en lançant un avis à manifestation d’intérêts publié dans la presse locale et internationale.</w:t>
      </w:r>
    </w:p>
    <w:p w14:paraId="537B3FAE"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En application de </w:t>
      </w:r>
      <w:r>
        <w:rPr>
          <w:rFonts w:ascii="Times New Roman" w:eastAsiaTheme="minorHAnsi" w:hAnsi="Times New Roman"/>
          <w:color w:val="252525"/>
          <w:sz w:val="24"/>
          <w:szCs w:val="24"/>
        </w:rPr>
        <w:t>l</w:t>
      </w:r>
      <w:r w:rsidRPr="00840E13">
        <w:rPr>
          <w:rFonts w:ascii="Times New Roman" w:eastAsiaTheme="minorHAnsi" w:hAnsi="Times New Roman"/>
          <w:color w:val="252525"/>
          <w:sz w:val="24"/>
          <w:szCs w:val="24"/>
        </w:rPr>
        <w:t>’article 76 du Règlement d’hydrocarbures, le Ministre sélectionne une ou plusieurs personnes morales sur base des critères techniques et financiers qu’il définit et fait approuver par le Conseil des Ministres. Une présélection des offres est organisée, le cas échéant.</w:t>
      </w:r>
    </w:p>
    <w:p w14:paraId="3A46E674"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liste des soumissionnaires et celle des sélectionnés sont publiées dans la presse locale et internationale, au Journal officiel de la RDC et sur le site web du Ministère des Hydrocarbures.</w:t>
      </w:r>
    </w:p>
    <w:p w14:paraId="4D03CDBA" w14:textId="77777777" w:rsidR="00C579DE" w:rsidRDefault="00C579DE" w:rsidP="00C579DE">
      <w:pPr>
        <w:autoSpaceDE w:val="0"/>
        <w:autoSpaceDN w:val="0"/>
        <w:adjustRightInd w:val="0"/>
        <w:spacing w:before="240" w:after="0"/>
        <w:ind w:left="567"/>
        <w:jc w:val="both"/>
        <w:rPr>
          <w:rFonts w:ascii="Times New Roman" w:hAnsi="Times New Roman"/>
          <w:sz w:val="24"/>
          <w:szCs w:val="24"/>
        </w:rPr>
      </w:pPr>
      <w:r w:rsidRPr="00840E13">
        <w:rPr>
          <w:rFonts w:ascii="Times New Roman" w:eastAsiaTheme="minorHAnsi" w:hAnsi="Times New Roman"/>
          <w:color w:val="252525"/>
          <w:sz w:val="24"/>
          <w:szCs w:val="24"/>
        </w:rPr>
        <w:t>Dans le cas où le potentiel d’hydrocarbures d’un bloc n’est pas suffisamment démontré ou en raison de sa géologie, il est recouru à la</w:t>
      </w:r>
      <w:r w:rsidRPr="00840E13">
        <w:rPr>
          <w:rFonts w:ascii="Times New Roman" w:hAnsi="Times New Roman"/>
          <w:sz w:val="24"/>
          <w:szCs w:val="24"/>
        </w:rPr>
        <w:t xml:space="preserve"> procédure d’appel d’offres restreint sur autorisation du Conseil des Ministres. </w:t>
      </w:r>
    </w:p>
    <w:p w14:paraId="25F82D64" w14:textId="77777777" w:rsidR="00C579DE" w:rsidRDefault="00C579DE" w:rsidP="00C579DE">
      <w:pPr>
        <w:autoSpaceDE w:val="0"/>
        <w:autoSpaceDN w:val="0"/>
        <w:adjustRightInd w:val="0"/>
        <w:spacing w:before="240" w:after="0"/>
        <w:ind w:left="567"/>
        <w:jc w:val="both"/>
        <w:rPr>
          <w:rFonts w:ascii="Times New Roman" w:hAnsi="Times New Roman"/>
          <w:sz w:val="24"/>
          <w:szCs w:val="24"/>
        </w:rPr>
      </w:pPr>
      <w:r>
        <w:rPr>
          <w:rFonts w:ascii="Times New Roman" w:hAnsi="Times New Roman"/>
          <w:sz w:val="24"/>
          <w:szCs w:val="24"/>
        </w:rPr>
        <w:lastRenderedPageBreak/>
        <w:t>« Selon l’article 25 de la loi sur la passation des marchés publics, l’appel d’offres est dit restreint lorsque seuls peuvent remettre des offres, les candidats que l’autorité contractante a décidé de consulter ».</w:t>
      </w:r>
    </w:p>
    <w:p w14:paraId="3CF2207B" w14:textId="77777777" w:rsidR="00C579DE" w:rsidRDefault="00C579DE" w:rsidP="00C579DE">
      <w:pPr>
        <w:pStyle w:val="Commentaire"/>
      </w:pPr>
    </w:p>
    <w:p w14:paraId="2FD4EFA4" w14:textId="77777777" w:rsidR="00C579DE" w:rsidRPr="00840E13" w:rsidRDefault="00C579DE" w:rsidP="00C579DE">
      <w:pPr>
        <w:tabs>
          <w:tab w:val="left" w:pos="851"/>
          <w:tab w:val="left" w:pos="1134"/>
        </w:tabs>
        <w:spacing w:after="12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En cas d’échec de la première procédure, des nouveaux appels d’offres sont lancés jusqu’à la </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conclusion du marché.</w:t>
      </w:r>
    </w:p>
    <w:p w14:paraId="16FA4212" w14:textId="77777777" w:rsidR="00C579DE" w:rsidRPr="00840E13" w:rsidRDefault="00C579DE" w:rsidP="00C579DE">
      <w:pPr>
        <w:spacing w:after="12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personne morale de droit congolais ou de droit étranger qui a gagné le marché, s’associe à la société nationale, et les deux constituent ensemble la partie contractante vis-à-vis de l’Etat congolais.</w:t>
      </w:r>
    </w:p>
    <w:p w14:paraId="19C557B3"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Ainsi fait, le Ministre des Hydrocarbures conclut, avec la personne morale sélectionnée en association avec la société nationale, un contrat d’hydrocarbures accordant les droits d’exploration et d’exploitation sous la forme d’un contrat de partage de production ou de services. </w:t>
      </w:r>
    </w:p>
    <w:p w14:paraId="42C2397B" w14:textId="77777777" w:rsidR="00C579DE" w:rsidRPr="00840E13"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Les contrats d’hydrocarbures et leurs avenants sont signés par les Ministres des Hydrocarbures et des Finances après délibération en Conseil des Ministres. Ils ne produisent leurs effets qu’après leur approbation par ordonnance du Président de la République.</w:t>
      </w:r>
    </w:p>
    <w:p w14:paraId="3023FA27" w14:textId="77777777" w:rsidR="00C579DE" w:rsidRPr="00840E13" w:rsidRDefault="00C579DE" w:rsidP="00C579DE">
      <w:pPr>
        <w:autoSpaceDE w:val="0"/>
        <w:autoSpaceDN w:val="0"/>
        <w:adjustRightInd w:val="0"/>
        <w:spacing w:before="240" w:line="276" w:lineRule="auto"/>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contrat de partage de production porte sur deux phases</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w:t>
      </w:r>
    </w:p>
    <w:p w14:paraId="6F40752B" w14:textId="77777777" w:rsidR="00C579DE" w:rsidRPr="00761855" w:rsidRDefault="00C579DE" w:rsidP="000738D3">
      <w:pPr>
        <w:pStyle w:val="Paragraphedeliste"/>
        <w:numPr>
          <w:ilvl w:val="0"/>
          <w:numId w:val="5"/>
        </w:numPr>
        <w:autoSpaceDE w:val="0"/>
        <w:autoSpaceDN w:val="0"/>
        <w:adjustRightInd w:val="0"/>
        <w:ind w:left="1276" w:hanging="283"/>
        <w:jc w:val="both"/>
        <w:rPr>
          <w:rFonts w:ascii="Times New Roman" w:hAnsi="Times New Roman"/>
          <w:color w:val="252525"/>
          <w:sz w:val="24"/>
          <w:szCs w:val="24"/>
        </w:rPr>
      </w:pPr>
      <w:r w:rsidRPr="00761855">
        <w:rPr>
          <w:rFonts w:ascii="Times New Roman" w:hAnsi="Times New Roman"/>
          <w:color w:val="252525"/>
          <w:sz w:val="24"/>
          <w:szCs w:val="24"/>
        </w:rPr>
        <w:t>La phase d'exploration, qui inclut entre autres les activités d'évaluation des découvertes d'hydrocarbures dans le but d'en déterminer la commercialité ;</w:t>
      </w:r>
    </w:p>
    <w:p w14:paraId="16DBEC02" w14:textId="77777777" w:rsidR="00C579DE" w:rsidRPr="00761855" w:rsidRDefault="00C579DE" w:rsidP="000738D3">
      <w:pPr>
        <w:pStyle w:val="Paragraphedeliste"/>
        <w:numPr>
          <w:ilvl w:val="0"/>
          <w:numId w:val="5"/>
        </w:numPr>
        <w:autoSpaceDE w:val="0"/>
        <w:autoSpaceDN w:val="0"/>
        <w:adjustRightInd w:val="0"/>
        <w:spacing w:after="0"/>
        <w:ind w:left="1276" w:hanging="283"/>
        <w:jc w:val="both"/>
        <w:rPr>
          <w:rFonts w:ascii="Times New Roman" w:hAnsi="Times New Roman"/>
          <w:color w:val="252525"/>
          <w:sz w:val="24"/>
          <w:szCs w:val="24"/>
        </w:rPr>
      </w:pPr>
      <w:r w:rsidRPr="00761855">
        <w:rPr>
          <w:rFonts w:ascii="Times New Roman" w:hAnsi="Times New Roman"/>
          <w:color w:val="252525"/>
          <w:sz w:val="24"/>
          <w:szCs w:val="24"/>
        </w:rPr>
        <w:t>La phase d'exploitation, qui inclut notamment les opérations de développement en vue de la production des hydrocarbures (Article 44).</w:t>
      </w:r>
    </w:p>
    <w:p w14:paraId="0DF9C619"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4231577E"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droit d'exploration est exclusif. Il est accordé au contractant pour une durée initiale de trois ans à compter de la date d'entrée en vigueur du contrat. Il est renouvelable deux fois respectivement pour une durée de trois ans.</w:t>
      </w:r>
    </w:p>
    <w:p w14:paraId="79F64F44"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Toutefois, la durée initiale est de quatre ans pour les bassins sédimentaires aux conditions géologiques ou d'accès difficiles (Article 50 </w:t>
      </w:r>
      <w:r>
        <w:rPr>
          <w:rFonts w:ascii="Times New Roman" w:eastAsiaTheme="minorHAnsi" w:hAnsi="Times New Roman"/>
          <w:color w:val="252525"/>
          <w:sz w:val="24"/>
          <w:szCs w:val="24"/>
        </w:rPr>
        <w:t>d</w:t>
      </w:r>
      <w:r w:rsidRPr="00840E13">
        <w:rPr>
          <w:rFonts w:ascii="Times New Roman" w:eastAsiaTheme="minorHAnsi" w:hAnsi="Times New Roman"/>
          <w:color w:val="252525"/>
          <w:sz w:val="24"/>
          <w:szCs w:val="24"/>
        </w:rPr>
        <w:t>u Code).</w:t>
      </w:r>
    </w:p>
    <w:p w14:paraId="794BE361" w14:textId="77777777" w:rsidR="00C579DE"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Le droit d'exploitation est aussi exclusif. Il est accordé pour une durée qui ne peut excéder vingt ans, et il est renouvelable une seule fois pour un terme maximal de dix ans (Article</w:t>
      </w:r>
      <w:r>
        <w:rPr>
          <w:rFonts w:ascii="Times New Roman" w:eastAsiaTheme="minorHAnsi" w:hAnsi="Times New Roman"/>
          <w:color w:val="252525"/>
          <w:sz w:val="24"/>
          <w:szCs w:val="24"/>
        </w:rPr>
        <w:t xml:space="preserve"> </w:t>
      </w:r>
      <w:r w:rsidRPr="00840E13">
        <w:rPr>
          <w:rFonts w:ascii="Times New Roman" w:eastAsiaTheme="minorHAnsi" w:hAnsi="Times New Roman"/>
          <w:color w:val="252525"/>
          <w:sz w:val="24"/>
          <w:szCs w:val="24"/>
        </w:rPr>
        <w:t>59 du Code).</w:t>
      </w:r>
    </w:p>
    <w:p w14:paraId="6F5EEDDB" w14:textId="77777777" w:rsidR="00C579DE" w:rsidRDefault="00C579DE" w:rsidP="00C579DE">
      <w:pPr>
        <w:autoSpaceDE w:val="0"/>
        <w:autoSpaceDN w:val="0"/>
        <w:adjustRightInd w:val="0"/>
        <w:spacing w:before="240" w:after="0"/>
        <w:ind w:left="567"/>
        <w:jc w:val="both"/>
        <w:rPr>
          <w:rFonts w:ascii="Times New Roman" w:eastAsiaTheme="minorHAnsi" w:hAnsi="Times New Roman"/>
          <w:color w:val="252525"/>
          <w:sz w:val="24"/>
          <w:szCs w:val="24"/>
        </w:rPr>
      </w:pPr>
    </w:p>
    <w:p w14:paraId="27D7E0DF" w14:textId="77777777" w:rsidR="00C579DE" w:rsidRPr="004E7C39" w:rsidRDefault="00C579DE" w:rsidP="00C579DE">
      <w:pPr>
        <w:spacing w:after="0" w:line="240" w:lineRule="auto"/>
        <w:ind w:left="567"/>
        <w:rPr>
          <w:rFonts w:ascii="Times New Roman" w:eastAsiaTheme="minorHAnsi" w:hAnsi="Times New Roman"/>
          <w:sz w:val="24"/>
          <w:szCs w:val="24"/>
          <w:lang w:eastAsia="fr-FR"/>
        </w:rPr>
      </w:pPr>
      <w:r w:rsidRPr="004E7C39">
        <w:rPr>
          <w:rFonts w:ascii="Times New Roman" w:eastAsiaTheme="minorHAnsi" w:hAnsi="Times New Roman"/>
          <w:sz w:val="24"/>
          <w:szCs w:val="24"/>
        </w:rPr>
        <w:t>En 2016, il n’y a pas eu octroi du droit des hydrocarbures</w:t>
      </w:r>
      <w:r w:rsidRPr="004E7C39">
        <w:rPr>
          <w:rStyle w:val="Appelnotedebasdep"/>
          <w:rFonts w:ascii="Times New Roman" w:eastAsiaTheme="minorHAnsi" w:hAnsi="Times New Roman"/>
          <w:sz w:val="24"/>
          <w:szCs w:val="24"/>
        </w:rPr>
        <w:footnoteReference w:id="17"/>
      </w:r>
      <w:r w:rsidRPr="004E7C39">
        <w:rPr>
          <w:rFonts w:ascii="Times New Roman" w:eastAsiaTheme="minorHAnsi" w:hAnsi="Times New Roman"/>
          <w:sz w:val="24"/>
          <w:szCs w:val="24"/>
        </w:rPr>
        <w:t xml:space="preserve"> </w:t>
      </w:r>
      <w:r w:rsidRPr="004E7C39">
        <w:rPr>
          <w:rFonts w:ascii="Times New Roman" w:eastAsiaTheme="minorHAnsi" w:hAnsi="Times New Roman"/>
          <w:sz w:val="24"/>
          <w:szCs w:val="24"/>
          <w:lang w:eastAsia="fr-FR"/>
        </w:rPr>
        <w:t xml:space="preserve"> </w:t>
      </w:r>
    </w:p>
    <w:p w14:paraId="1FDA9DA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20DF1D4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À</w:t>
      </w:r>
      <w:r w:rsidRPr="00840E13">
        <w:rPr>
          <w:rFonts w:ascii="Times New Roman" w:eastAsiaTheme="minorHAnsi" w:hAnsi="Times New Roman"/>
          <w:color w:val="252525"/>
          <w:sz w:val="24"/>
          <w:szCs w:val="24"/>
        </w:rPr>
        <w:t xml:space="preserve"> l’issue d’un appel d’offres lancé sur base de l’avis à manifestation d’intérêt n°004/AMI.GAZ/CGPMP/MIN-HYDRO/2014 de 2014, relatif au recrutement d’une société pour l’exploitation du gaz méthane du lac Kivu en vue de la production de l’électricité, la RDC, par le biais du Ministère des Hydrocarbures, a signé, en </w:t>
      </w:r>
      <w:r>
        <w:rPr>
          <w:rFonts w:ascii="Times New Roman" w:eastAsiaTheme="minorHAnsi" w:hAnsi="Times New Roman"/>
          <w:color w:val="252525"/>
          <w:sz w:val="24"/>
          <w:szCs w:val="24"/>
        </w:rPr>
        <w:t xml:space="preserve">juillet </w:t>
      </w:r>
      <w:r w:rsidRPr="00840E13">
        <w:rPr>
          <w:rFonts w:ascii="Times New Roman" w:eastAsiaTheme="minorHAnsi" w:hAnsi="Times New Roman"/>
          <w:color w:val="252525"/>
          <w:sz w:val="24"/>
          <w:szCs w:val="24"/>
        </w:rPr>
        <w:t xml:space="preserve">2017, le contrat </w:t>
      </w:r>
      <w:r w:rsidRPr="00840E13">
        <w:rPr>
          <w:rFonts w:ascii="Times New Roman" w:eastAsiaTheme="minorHAnsi" w:hAnsi="Times New Roman"/>
          <w:color w:val="252525"/>
          <w:sz w:val="24"/>
          <w:szCs w:val="24"/>
        </w:rPr>
        <w:lastRenderedPageBreak/>
        <w:t>n°001/GAZ.ELEC/PPP/CGPMP/MIN-HYDRO/2017, pour l’exploitation du gaz méthane du lac Kivu.</w:t>
      </w:r>
    </w:p>
    <w:p w14:paraId="2A733889"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Cette  exploitation revêt un caractère social et environnemental (compte tenu de la particularité du lac Kivu, un cas unique au monde).</w:t>
      </w:r>
    </w:p>
    <w:p w14:paraId="214CB065"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1617D741"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672458">
        <w:rPr>
          <w:rFonts w:ascii="Times New Roman" w:eastAsiaTheme="minorHAnsi" w:hAnsi="Times New Roman"/>
          <w:color w:val="252525"/>
          <w:sz w:val="24"/>
          <w:szCs w:val="24"/>
        </w:rPr>
        <w:t>En effet,</w:t>
      </w:r>
      <w:r>
        <w:rPr>
          <w:rFonts w:ascii="Times New Roman" w:eastAsiaTheme="minorHAnsi" w:hAnsi="Times New Roman"/>
          <w:color w:val="252525"/>
          <w:sz w:val="24"/>
          <w:szCs w:val="24"/>
        </w:rPr>
        <w:t xml:space="preserve"> à lire Wikipédia,</w:t>
      </w:r>
      <w:r w:rsidRPr="00672458">
        <w:rPr>
          <w:rFonts w:ascii="Times New Roman" w:eastAsiaTheme="minorHAnsi" w:hAnsi="Times New Roman"/>
          <w:color w:val="252525"/>
          <w:sz w:val="24"/>
          <w:szCs w:val="24"/>
        </w:rPr>
        <w:t xml:space="preserve"> </w:t>
      </w:r>
      <w:r w:rsidRPr="007B1A01">
        <w:rPr>
          <w:rFonts w:ascii="Times New Roman" w:hAnsi="Times New Roman"/>
          <w:color w:val="222222"/>
          <w:sz w:val="24"/>
          <w:szCs w:val="24"/>
          <w:shd w:val="clear" w:color="auto" w:fill="FFFFFF"/>
        </w:rPr>
        <w:t>Le </w:t>
      </w:r>
      <w:r w:rsidRPr="007B1A01">
        <w:rPr>
          <w:rFonts w:ascii="Times New Roman" w:hAnsi="Times New Roman"/>
          <w:b/>
          <w:bCs/>
          <w:color w:val="222222"/>
          <w:sz w:val="24"/>
          <w:szCs w:val="24"/>
          <w:shd w:val="clear" w:color="auto" w:fill="FFFFFF"/>
        </w:rPr>
        <w:t>lac Kivu</w:t>
      </w:r>
      <w:r w:rsidRPr="007B1A01">
        <w:rPr>
          <w:rFonts w:ascii="Times New Roman" w:hAnsi="Times New Roman"/>
          <w:color w:val="222222"/>
          <w:sz w:val="24"/>
          <w:szCs w:val="24"/>
          <w:shd w:val="clear" w:color="auto" w:fill="FFFFFF"/>
        </w:rPr>
        <w:t> est l'un des </w:t>
      </w:r>
      <w:hyperlink r:id="rId27" w:tooltip="Grands Lacs (Afrique)" w:history="1">
        <w:r w:rsidRPr="007B1A01">
          <w:rPr>
            <w:rStyle w:val="Lienhypertexte"/>
            <w:rFonts w:ascii="Times New Roman" w:hAnsi="Times New Roman"/>
            <w:color w:val="0B0080"/>
            <w:sz w:val="24"/>
            <w:szCs w:val="24"/>
            <w:shd w:val="clear" w:color="auto" w:fill="FFFFFF"/>
          </w:rPr>
          <w:t>Grands Lacs d'Afrique</w:t>
        </w:r>
      </w:hyperlink>
      <w:r w:rsidRPr="007B1A01">
        <w:rPr>
          <w:rFonts w:ascii="Times New Roman" w:hAnsi="Times New Roman"/>
          <w:color w:val="222222"/>
          <w:sz w:val="24"/>
          <w:szCs w:val="24"/>
          <w:shd w:val="clear" w:color="auto" w:fill="FFFFFF"/>
        </w:rPr>
        <w:t>. Il se situe entre la </w:t>
      </w:r>
      <w:hyperlink r:id="rId28" w:tooltip="République démocratique du Congo" w:history="1">
        <w:r w:rsidRPr="007B1A01">
          <w:rPr>
            <w:rStyle w:val="Lienhypertexte"/>
            <w:rFonts w:ascii="Times New Roman" w:hAnsi="Times New Roman"/>
            <w:color w:val="0B0080"/>
            <w:sz w:val="24"/>
            <w:szCs w:val="24"/>
            <w:shd w:val="clear" w:color="auto" w:fill="FFFFFF"/>
          </w:rPr>
          <w:t>République démocratique du Congo</w:t>
        </w:r>
      </w:hyperlink>
      <w:r w:rsidRPr="007B1A01">
        <w:rPr>
          <w:rFonts w:ascii="Times New Roman" w:hAnsi="Times New Roman"/>
          <w:color w:val="222222"/>
          <w:sz w:val="24"/>
          <w:szCs w:val="24"/>
          <w:shd w:val="clear" w:color="auto" w:fill="FFFFFF"/>
        </w:rPr>
        <w:t> et le </w:t>
      </w:r>
      <w:hyperlink r:id="rId29" w:tooltip="Rwanda" w:history="1">
        <w:r w:rsidRPr="007B1A01">
          <w:rPr>
            <w:rStyle w:val="Lienhypertexte"/>
            <w:rFonts w:ascii="Times New Roman" w:hAnsi="Times New Roman"/>
            <w:color w:val="0B0080"/>
            <w:sz w:val="24"/>
            <w:szCs w:val="24"/>
            <w:shd w:val="clear" w:color="auto" w:fill="FFFFFF"/>
          </w:rPr>
          <w:t>Rwanda</w:t>
        </w:r>
      </w:hyperlink>
      <w:r w:rsidRPr="007B1A01">
        <w:rPr>
          <w:rFonts w:ascii="Times New Roman" w:hAnsi="Times New Roman"/>
          <w:color w:val="222222"/>
          <w:sz w:val="24"/>
          <w:szCs w:val="24"/>
          <w:shd w:val="clear" w:color="auto" w:fill="FFFFFF"/>
        </w:rPr>
        <w:t>.</w:t>
      </w:r>
    </w:p>
    <w:p w14:paraId="2BA993CF"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Ce lac est caractérisé par une forte stratification thermique et chimique (CO</w:t>
      </w:r>
      <w:r w:rsidRPr="007B1A01">
        <w:rPr>
          <w:rFonts w:ascii="Times New Roman" w:hAnsi="Times New Roman"/>
          <w:color w:val="222222"/>
          <w:sz w:val="24"/>
          <w:szCs w:val="24"/>
          <w:shd w:val="clear" w:color="auto" w:fill="FFFFFF"/>
          <w:vertAlign w:val="subscript"/>
        </w:rPr>
        <w:t>2</w:t>
      </w:r>
      <w:r w:rsidRPr="007B1A01">
        <w:rPr>
          <w:rFonts w:ascii="Times New Roman" w:hAnsi="Times New Roman"/>
          <w:color w:val="222222"/>
          <w:sz w:val="24"/>
          <w:szCs w:val="24"/>
          <w:shd w:val="clear" w:color="auto" w:fill="FFFFFF"/>
        </w:rPr>
        <w:t> et </w:t>
      </w:r>
      <w:hyperlink r:id="rId30" w:tooltip="Méthane" w:history="1">
        <w:r w:rsidRPr="007B1A01">
          <w:rPr>
            <w:rStyle w:val="Lienhypertexte"/>
            <w:rFonts w:ascii="Times New Roman" w:hAnsi="Times New Roman"/>
            <w:color w:val="0B0080"/>
            <w:sz w:val="24"/>
            <w:szCs w:val="24"/>
            <w:shd w:val="clear" w:color="auto" w:fill="FFFFFF"/>
          </w:rPr>
          <w:t>méthane</w:t>
        </w:r>
      </w:hyperlink>
      <w:r w:rsidRPr="007B1A01">
        <w:rPr>
          <w:rFonts w:ascii="Times New Roman" w:hAnsi="Times New Roman"/>
          <w:color w:val="222222"/>
          <w:sz w:val="24"/>
          <w:szCs w:val="24"/>
          <w:shd w:val="clear" w:color="auto" w:fill="FFFFFF"/>
        </w:rPr>
        <w:t> assez fortement "piégés" dans les eaux profondes, mais pourrait épisodiquement être brutalement libéré avec des risques graves pour la population et la faune).</w:t>
      </w:r>
    </w:p>
    <w:p w14:paraId="239832B5" w14:textId="77777777" w:rsidR="00C579DE" w:rsidRPr="007B1A01"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Ce lac abriterait 300 kilomètres cubes de dioxyde de carbone et 60 kilomètres cubes de méthane, pouvant remonter par des cheminées volcaniques, ce qui représente plus de 300 fois la quantité de gaz contenue dans le lac Nyos qui lors de son </w:t>
      </w:r>
      <w:hyperlink r:id="rId31" w:anchor=".C3.89ruption_limnique_du_21_ao.C3.BBt_1986" w:tooltip="Lac Nyos" w:history="1">
        <w:r w:rsidRPr="007B1A01">
          <w:rPr>
            <w:rStyle w:val="Lienhypertexte"/>
            <w:rFonts w:ascii="Times New Roman" w:hAnsi="Times New Roman"/>
            <w:color w:val="0B0080"/>
            <w:sz w:val="24"/>
            <w:szCs w:val="24"/>
            <w:shd w:val="clear" w:color="auto" w:fill="FFFFFF"/>
          </w:rPr>
          <w:t>éruption</w:t>
        </w:r>
      </w:hyperlink>
      <w:r w:rsidRPr="007B1A01">
        <w:rPr>
          <w:rFonts w:ascii="Times New Roman" w:hAnsi="Times New Roman"/>
          <w:color w:val="222222"/>
          <w:sz w:val="24"/>
          <w:szCs w:val="24"/>
          <w:shd w:val="clear" w:color="auto" w:fill="FFFFFF"/>
        </w:rPr>
        <w:t> avait fait 1700 morts.</w:t>
      </w:r>
    </w:p>
    <w:p w14:paraId="20DE20AC" w14:textId="77777777" w:rsidR="00C579DE" w:rsidRDefault="00C579DE" w:rsidP="00C579DE">
      <w:pPr>
        <w:ind w:left="567"/>
        <w:jc w:val="both"/>
        <w:rPr>
          <w:rFonts w:ascii="Times New Roman" w:hAnsi="Times New Roman"/>
          <w:color w:val="222222"/>
          <w:sz w:val="24"/>
          <w:szCs w:val="24"/>
          <w:shd w:val="clear" w:color="auto" w:fill="FFFFFF"/>
        </w:rPr>
      </w:pPr>
      <w:r w:rsidRPr="007B1A01">
        <w:rPr>
          <w:rFonts w:ascii="Times New Roman" w:hAnsi="Times New Roman"/>
          <w:color w:val="222222"/>
          <w:sz w:val="24"/>
          <w:szCs w:val="24"/>
          <w:shd w:val="clear" w:color="auto" w:fill="FFFFFF"/>
        </w:rPr>
        <w:t>En 2005, des géologues et géochimistes ont estimé que certains changements récents de comportement du lac sont des indices de risque accru d'une éruption incontrôlable de gaz et que </w:t>
      </w:r>
      <w:r w:rsidRPr="007B1A01">
        <w:rPr>
          <w:rStyle w:val="citation0"/>
          <w:rFonts w:ascii="Times New Roman" w:hAnsi="Times New Roman"/>
          <w:color w:val="222222"/>
          <w:sz w:val="24"/>
          <w:szCs w:val="24"/>
          <w:shd w:val="clear" w:color="auto" w:fill="FFFFFF"/>
        </w:rPr>
        <w:t>« La libération d'une fraction de ces gaz, qui pourrait être déclenchée par une éruption de magma dans le lac, aurait des conséquences catastrophiques pour les deux millions de personnes vivant sur ses rives »</w:t>
      </w:r>
      <w:r w:rsidRPr="007B1A01">
        <w:rPr>
          <w:rFonts w:ascii="Times New Roman" w:hAnsi="Times New Roman"/>
          <w:color w:val="222222"/>
          <w:sz w:val="24"/>
          <w:szCs w:val="24"/>
          <w:shd w:val="clear" w:color="auto" w:fill="FFFFFF"/>
        </w:rPr>
        <w:t>.</w:t>
      </w:r>
    </w:p>
    <w:p w14:paraId="049834F0" w14:textId="77777777" w:rsidR="00C579DE" w:rsidRPr="007B1A01" w:rsidRDefault="00C579DE" w:rsidP="00C579DE">
      <w:pPr>
        <w:ind w:left="567"/>
        <w:jc w:val="both"/>
        <w:rPr>
          <w:rFonts w:ascii="Times New Roman" w:hAnsi="Times New Roman"/>
          <w:sz w:val="24"/>
          <w:szCs w:val="24"/>
        </w:rPr>
      </w:pPr>
      <w:r>
        <w:rPr>
          <w:rFonts w:ascii="Times New Roman" w:hAnsi="Times New Roman"/>
          <w:color w:val="222222"/>
          <w:sz w:val="24"/>
          <w:szCs w:val="24"/>
          <w:shd w:val="clear" w:color="auto" w:fill="FFFFFF"/>
        </w:rPr>
        <w:t>C’est, donc, pour prévenir tout risque de catastrophe naturelle liée à la sursaturation du Gaz méthane que ce contrat d’exploitation a été signé.</w:t>
      </w:r>
    </w:p>
    <w:p w14:paraId="5E33957B" w14:textId="77777777" w:rsidR="00C579DE" w:rsidRPr="00063141" w:rsidRDefault="00C579DE" w:rsidP="00C579DE">
      <w:pPr>
        <w:spacing w:before="160" w:after="320" w:line="360" w:lineRule="auto"/>
        <w:ind w:left="567"/>
        <w:rPr>
          <w:rFonts w:ascii="Times New Roman" w:eastAsiaTheme="minorHAnsi" w:hAnsi="Times New Roman"/>
          <w:color w:val="252525"/>
          <w:sz w:val="24"/>
          <w:szCs w:val="24"/>
        </w:rPr>
      </w:pPr>
      <w:r w:rsidRPr="00840E13">
        <w:rPr>
          <w:rFonts w:ascii="Times New Roman" w:hAnsi="Times New Roman"/>
          <w:color w:val="252525"/>
          <w:sz w:val="24"/>
          <w:szCs w:val="24"/>
        </w:rPr>
        <w:t>La partie contractante est un consortium composé de :</w:t>
      </w:r>
    </w:p>
    <w:p w14:paraId="7BFA75A8"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La société Engineering Procurement &amp; Project Management SA (EPPM) ;</w:t>
      </w:r>
    </w:p>
    <w:p w14:paraId="5280B666"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 xml:space="preserve">La société Transcentury Limited, et </w:t>
      </w:r>
    </w:p>
    <w:p w14:paraId="2EE25760" w14:textId="77777777" w:rsidR="00C579DE" w:rsidRPr="00840E13" w:rsidRDefault="00C579DE" w:rsidP="000738D3">
      <w:pPr>
        <w:pStyle w:val="Paragraphedeliste"/>
        <w:numPr>
          <w:ilvl w:val="0"/>
          <w:numId w:val="3"/>
        </w:numPr>
        <w:autoSpaceDE w:val="0"/>
        <w:autoSpaceDN w:val="0"/>
        <w:adjustRightInd w:val="0"/>
        <w:spacing w:after="0"/>
        <w:ind w:left="567" w:firstLine="283"/>
        <w:jc w:val="both"/>
        <w:rPr>
          <w:rFonts w:ascii="Times New Roman" w:hAnsi="Times New Roman" w:cs="Times New Roman"/>
          <w:color w:val="252525"/>
          <w:sz w:val="24"/>
          <w:szCs w:val="24"/>
        </w:rPr>
      </w:pPr>
      <w:r w:rsidRPr="00840E13">
        <w:rPr>
          <w:rFonts w:ascii="Times New Roman" w:hAnsi="Times New Roman" w:cs="Times New Roman"/>
          <w:color w:val="252525"/>
          <w:sz w:val="24"/>
          <w:szCs w:val="24"/>
        </w:rPr>
        <w:t>La société Swede Energy DRC Sarl.</w:t>
      </w:r>
    </w:p>
    <w:p w14:paraId="3C3EBC11" w14:textId="77777777" w:rsidR="00C579DE" w:rsidRPr="00840E13"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p>
    <w:p w14:paraId="4DC1A8DF" w14:textId="77777777" w:rsidR="00C579DE" w:rsidRDefault="00C579DE" w:rsidP="00C579DE">
      <w:pPr>
        <w:autoSpaceDE w:val="0"/>
        <w:autoSpaceDN w:val="0"/>
        <w:adjustRightInd w:val="0"/>
        <w:spacing w:after="0"/>
        <w:ind w:left="567"/>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 xml:space="preserve">La lettre N° 981/DGCMP/DG/DRE/D4/BNJ/2014 de la Direction Générale du Contrôle des Marchés Publics contenant la liste restreinte des candidats sélectionnés, ainsi que </w:t>
      </w:r>
      <w:hyperlink r:id="rId32" w:history="1">
        <w:r w:rsidRPr="00840E13">
          <w:rPr>
            <w:rStyle w:val="Lienhypertexte"/>
            <w:rFonts w:ascii="Times New Roman" w:eastAsiaTheme="minorHAnsi" w:hAnsi="Times New Roman"/>
            <w:sz w:val="24"/>
            <w:szCs w:val="24"/>
          </w:rPr>
          <w:t>le contrat de base signé avec le groupe EPPM sont publiés sur le site de l’ITIE-RDC</w:t>
        </w:r>
      </w:hyperlink>
      <w:r>
        <w:rPr>
          <w:rStyle w:val="Lienhypertexte"/>
          <w:rFonts w:ascii="Times New Roman" w:eastAsiaTheme="minorHAnsi" w:hAnsi="Times New Roman"/>
          <w:sz w:val="24"/>
          <w:szCs w:val="24"/>
        </w:rPr>
        <w:t>.</w:t>
      </w:r>
      <w:r w:rsidRPr="00840E13">
        <w:rPr>
          <w:rFonts w:ascii="Times New Roman" w:eastAsiaTheme="minorHAnsi" w:hAnsi="Times New Roman"/>
          <w:color w:val="252525"/>
          <w:sz w:val="24"/>
          <w:szCs w:val="24"/>
        </w:rPr>
        <w:t xml:space="preserve"> </w:t>
      </w:r>
    </w:p>
    <w:p w14:paraId="197864E8" w14:textId="77777777" w:rsidR="00C579DE" w:rsidRDefault="00C579DE">
      <w:pPr>
        <w:rPr>
          <w:rFonts w:ascii="Times New Roman" w:eastAsiaTheme="minorHAnsi" w:hAnsi="Times New Roman"/>
          <w:color w:val="252525"/>
          <w:sz w:val="24"/>
          <w:szCs w:val="24"/>
        </w:rPr>
      </w:pPr>
      <w:r>
        <w:rPr>
          <w:rFonts w:ascii="Times New Roman" w:eastAsiaTheme="minorHAnsi" w:hAnsi="Times New Roman"/>
          <w:color w:val="252525"/>
          <w:sz w:val="24"/>
          <w:szCs w:val="24"/>
        </w:rPr>
        <w:br w:type="page"/>
      </w:r>
    </w:p>
    <w:p w14:paraId="3AC3CF5B" w14:textId="77777777" w:rsidR="00C579DE" w:rsidRPr="007E7EFE" w:rsidRDefault="00C579DE" w:rsidP="00C579DE">
      <w:pPr>
        <w:autoSpaceDE w:val="0"/>
        <w:autoSpaceDN w:val="0"/>
        <w:adjustRightInd w:val="0"/>
        <w:spacing w:after="0"/>
        <w:ind w:left="284"/>
        <w:jc w:val="both"/>
        <w:rPr>
          <w:rFonts w:ascii="Times New Roman" w:eastAsiaTheme="minorHAnsi" w:hAnsi="Times New Roman"/>
          <w:b/>
          <w:i/>
          <w:color w:val="252525"/>
          <w:sz w:val="24"/>
          <w:szCs w:val="24"/>
        </w:rPr>
      </w:pPr>
      <w:r w:rsidRPr="007E7EFE">
        <w:rPr>
          <w:rFonts w:ascii="Times New Roman" w:eastAsiaTheme="minorHAnsi" w:hAnsi="Times New Roman"/>
          <w:b/>
          <w:i/>
          <w:color w:val="252525"/>
          <w:sz w:val="24"/>
          <w:szCs w:val="24"/>
        </w:rPr>
        <w:lastRenderedPageBreak/>
        <w:t>La procédure d’octroi est schématisée comme suit :</w:t>
      </w:r>
    </w:p>
    <w:p w14:paraId="04F69CF2" w14:textId="77777777" w:rsidR="00C579DE" w:rsidRPr="00840E13" w:rsidRDefault="00C579DE" w:rsidP="00C579DE">
      <w:pPr>
        <w:autoSpaceDE w:val="0"/>
        <w:autoSpaceDN w:val="0"/>
        <w:adjustRightInd w:val="0"/>
        <w:spacing w:after="0"/>
        <w:ind w:left="284"/>
        <w:jc w:val="both"/>
        <w:rPr>
          <w:rFonts w:ascii="Times New Roman" w:eastAsiaTheme="minorHAnsi" w:hAnsi="Times New Roman"/>
          <w:color w:val="252525"/>
          <w:sz w:val="24"/>
          <w:szCs w:val="24"/>
        </w:rPr>
      </w:pPr>
    </w:p>
    <w:p w14:paraId="03EF9CF3"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r>
        <w:rPr>
          <w:noProof/>
          <w:lang w:eastAsia="fr-FR"/>
        </w:rPr>
        <w:drawing>
          <wp:inline distT="0" distB="0" distL="0" distR="0" wp14:anchorId="39B14FF5" wp14:editId="62553874">
            <wp:extent cx="6280785" cy="2933700"/>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80785" cy="2933700"/>
                    </a:xfrm>
                    <a:prstGeom prst="rect">
                      <a:avLst/>
                    </a:prstGeom>
                  </pic:spPr>
                </pic:pic>
              </a:graphicData>
            </a:graphic>
          </wp:inline>
        </w:drawing>
      </w:r>
    </w:p>
    <w:p w14:paraId="1A64D020"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289117CB" w14:textId="77777777" w:rsidR="00C579DE" w:rsidRPr="00840E13"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614A9B1D"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3" w:name="_Toc516047982"/>
      <w:r w:rsidRPr="00E10AFD">
        <w:rPr>
          <w:rFonts w:ascii="Times New Roman" w:hAnsi="Times New Roman"/>
          <w:b/>
          <w:i/>
          <w:color w:val="5B9BD5" w:themeColor="accent1"/>
          <w:sz w:val="24"/>
          <w:szCs w:val="24"/>
        </w:rPr>
        <w:t>Cession ou transfert des droits d’exploration et d’exploitation</w:t>
      </w:r>
      <w:bookmarkEnd w:id="113"/>
    </w:p>
    <w:p w14:paraId="062D959C"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Suivant les articles 78 à 81, les droits d’exploration et d’exploitation sont cessibles partiellement ou totalement et transmissibles conformément à la loi.</w:t>
      </w:r>
    </w:p>
    <w:p w14:paraId="1DD12EA2"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Sous peine de nullité ou de résiliation de contrat, toute cession directe ou indirecte des droits est soumise au Ministre des Hydrocarbures pour approbation préalable selon les conditions et modalités fixées dans le Règlement d’hydrocarbures.</w:t>
      </w:r>
    </w:p>
    <w:p w14:paraId="7CF6AFB9" w14:textId="77777777" w:rsidR="00C579DE" w:rsidRPr="00840E13" w:rsidRDefault="00C579DE" w:rsidP="00C579DE">
      <w:pPr>
        <w:tabs>
          <w:tab w:val="left" w:pos="720"/>
        </w:tabs>
        <w:spacing w:before="120"/>
        <w:jc w:val="both"/>
        <w:rPr>
          <w:rFonts w:ascii="Times New Roman" w:hAnsi="Times New Roman"/>
          <w:sz w:val="24"/>
          <w:szCs w:val="24"/>
        </w:rPr>
      </w:pPr>
      <w:r w:rsidRPr="00840E13">
        <w:rPr>
          <w:rFonts w:ascii="Times New Roman" w:hAnsi="Times New Roman"/>
          <w:sz w:val="24"/>
          <w:szCs w:val="24"/>
        </w:rPr>
        <w:t xml:space="preserve">Comme l’attributaire initial, le cessionnaire des droits d'exploration et d'exploitation est tenu de justifier des capacités techniques et financières auprès du Ministre ayant les Hydrocarbures dans ses attributions (voir article 76 du Règlement d’hydrocarbures). </w:t>
      </w:r>
    </w:p>
    <w:p w14:paraId="1EC05939"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r w:rsidRPr="00840E13">
        <w:rPr>
          <w:rFonts w:ascii="Times New Roman" w:eastAsiaTheme="minorHAnsi" w:hAnsi="Times New Roman"/>
          <w:color w:val="252525"/>
          <w:sz w:val="24"/>
          <w:szCs w:val="24"/>
        </w:rPr>
        <w:t>La société nationale bénéficie d'un droit de</w:t>
      </w:r>
      <w:r w:rsidRPr="00840E13">
        <w:rPr>
          <w:rFonts w:ascii="Times New Roman" w:eastAsiaTheme="minorHAnsi" w:hAnsi="Times New Roman"/>
          <w:sz w:val="24"/>
          <w:szCs w:val="24"/>
        </w:rPr>
        <w:t xml:space="preserve"> </w:t>
      </w:r>
      <w:r w:rsidRPr="00840E13">
        <w:rPr>
          <w:rFonts w:ascii="Times New Roman" w:eastAsiaTheme="minorHAnsi" w:hAnsi="Times New Roman"/>
          <w:color w:val="252525"/>
          <w:sz w:val="24"/>
          <w:szCs w:val="24"/>
        </w:rPr>
        <w:t>préemption en cas de cession totale ou partielle.</w:t>
      </w:r>
    </w:p>
    <w:p w14:paraId="542BB3DA" w14:textId="77777777" w:rsidR="00C579DE" w:rsidRDefault="00C579DE" w:rsidP="00C579DE">
      <w:pPr>
        <w:autoSpaceDE w:val="0"/>
        <w:autoSpaceDN w:val="0"/>
        <w:adjustRightInd w:val="0"/>
        <w:spacing w:after="0"/>
        <w:jc w:val="both"/>
        <w:rPr>
          <w:rFonts w:ascii="Times New Roman" w:eastAsiaTheme="minorHAnsi" w:hAnsi="Times New Roman"/>
          <w:color w:val="252525"/>
          <w:sz w:val="24"/>
          <w:szCs w:val="24"/>
        </w:rPr>
      </w:pPr>
    </w:p>
    <w:p w14:paraId="2B9F8B5D" w14:textId="77777777" w:rsidR="00C579DE" w:rsidRPr="001E3E06" w:rsidRDefault="00C579DE" w:rsidP="00C579DE">
      <w:pPr>
        <w:autoSpaceDE w:val="0"/>
        <w:autoSpaceDN w:val="0"/>
        <w:adjustRightInd w:val="0"/>
        <w:spacing w:after="0"/>
        <w:jc w:val="both"/>
        <w:rPr>
          <w:rFonts w:ascii="Times New Roman" w:eastAsiaTheme="minorHAnsi" w:hAnsi="Times New Roman"/>
          <w:color w:val="252525"/>
          <w:sz w:val="24"/>
          <w:szCs w:val="24"/>
        </w:rPr>
      </w:pPr>
      <w:r>
        <w:rPr>
          <w:rFonts w:ascii="Times New Roman" w:eastAsiaTheme="minorHAnsi" w:hAnsi="Times New Roman"/>
          <w:color w:val="252525"/>
          <w:sz w:val="24"/>
          <w:szCs w:val="24"/>
        </w:rPr>
        <w:t>A la lumière du registre pétrolier reçu du SGH, la rubrique consacrée aux o</w:t>
      </w:r>
      <w:r w:rsidRPr="00797587">
        <w:rPr>
          <w:rFonts w:ascii="Times New Roman" w:eastAsiaTheme="minorHAnsi" w:hAnsi="Times New Roman"/>
          <w:color w:val="252525"/>
          <w:sz w:val="24"/>
          <w:szCs w:val="24"/>
        </w:rPr>
        <w:t>pérations intervenues au cours de l’année</w:t>
      </w:r>
      <w:r>
        <w:rPr>
          <w:rFonts w:ascii="Times New Roman" w:eastAsiaTheme="minorHAnsi" w:hAnsi="Times New Roman"/>
          <w:color w:val="252525"/>
          <w:sz w:val="24"/>
          <w:szCs w:val="24"/>
        </w:rPr>
        <w:t>, ne renseigne que deux cas : l’extension du permis de Total E&amp;P RDC dans le bloc III et le renouvellement de la Concession des groupe PERENCO, TEIKOKU et CHEVRON. Rien n’est dit sur une quelconque opération de cession ou de transfert des droits d’exploration et d’exploitation.</w:t>
      </w:r>
    </w:p>
    <w:p w14:paraId="22B2281B" w14:textId="77777777" w:rsidR="00C579DE" w:rsidRPr="00E10AFD" w:rsidRDefault="00C579DE" w:rsidP="000738D3">
      <w:pPr>
        <w:pStyle w:val="Paragraphedeliste"/>
        <w:numPr>
          <w:ilvl w:val="0"/>
          <w:numId w:val="63"/>
        </w:numPr>
        <w:ind w:left="709"/>
        <w:rPr>
          <w:rFonts w:ascii="Times New Roman" w:hAnsi="Times New Roman"/>
          <w:b/>
          <w:i/>
          <w:color w:val="5B9BD5" w:themeColor="accent1"/>
          <w:sz w:val="24"/>
          <w:szCs w:val="24"/>
        </w:rPr>
      </w:pPr>
      <w:bookmarkStart w:id="114" w:name="_Toc516047983"/>
      <w:r w:rsidRPr="00E10AFD">
        <w:rPr>
          <w:rFonts w:ascii="Times New Roman" w:hAnsi="Times New Roman"/>
          <w:b/>
          <w:i/>
          <w:color w:val="5B9BD5" w:themeColor="accent1"/>
          <w:sz w:val="24"/>
          <w:szCs w:val="24"/>
        </w:rPr>
        <w:t>Types de titres pétroliers octroyés</w:t>
      </w:r>
      <w:bookmarkEnd w:id="114"/>
    </w:p>
    <w:p w14:paraId="27B96BED" w14:textId="77777777" w:rsidR="00C579DE" w:rsidRPr="00840E13" w:rsidRDefault="00C579DE" w:rsidP="00C579DE">
      <w:pPr>
        <w:tabs>
          <w:tab w:val="left" w:pos="720"/>
        </w:tabs>
        <w:spacing w:before="120"/>
        <w:jc w:val="both"/>
        <w:rPr>
          <w:rFonts w:ascii="Times New Roman" w:eastAsia="+mn-ea" w:hAnsi="Times New Roman"/>
          <w:sz w:val="24"/>
          <w:szCs w:val="24"/>
        </w:rPr>
      </w:pPr>
      <w:r w:rsidRPr="00840E13">
        <w:rPr>
          <w:rFonts w:ascii="Times New Roman" w:eastAsia="+mn-ea" w:hAnsi="Times New Roman"/>
          <w:sz w:val="24"/>
          <w:szCs w:val="24"/>
        </w:rPr>
        <w:t>Comme on l’a vu aux points (a) et (b) ci-dessus, nous avons trois types de titres pétroliers qui sont :</w:t>
      </w:r>
    </w:p>
    <w:p w14:paraId="0F6E2DF4" w14:textId="77777777" w:rsidR="00C579DE" w:rsidRPr="00840E13"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 ’Autorisation de prospection ;</w:t>
      </w:r>
    </w:p>
    <w:p w14:paraId="10E5AEBA" w14:textId="77777777" w:rsidR="00C579DE" w:rsidRPr="00840E13"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le Permis d’exploration ;</w:t>
      </w:r>
    </w:p>
    <w:p w14:paraId="566CDB2D" w14:textId="5F83BEEB" w:rsidR="00E10AFD" w:rsidRDefault="00C579DE" w:rsidP="00C579DE">
      <w:pPr>
        <w:pStyle w:val="Paragraphedeliste"/>
        <w:tabs>
          <w:tab w:val="left" w:pos="720"/>
        </w:tabs>
        <w:spacing w:after="0"/>
        <w:ind w:left="851"/>
        <w:jc w:val="both"/>
        <w:rPr>
          <w:rFonts w:ascii="Times New Roman" w:eastAsia="+mn-ea" w:hAnsi="Times New Roman" w:cs="Times New Roman"/>
          <w:sz w:val="24"/>
          <w:szCs w:val="24"/>
        </w:rPr>
      </w:pPr>
      <w:r w:rsidRPr="00840E13">
        <w:rPr>
          <w:rFonts w:ascii="Times New Roman" w:eastAsia="+mn-ea" w:hAnsi="Times New Roman" w:cs="Times New Roman"/>
          <w:sz w:val="24"/>
          <w:szCs w:val="24"/>
        </w:rPr>
        <w:t>- le Permis d’exploitation.</w:t>
      </w:r>
    </w:p>
    <w:p w14:paraId="5C401676" w14:textId="77777777" w:rsidR="00E10AFD" w:rsidRDefault="00E10AFD">
      <w:pPr>
        <w:rPr>
          <w:rFonts w:ascii="Times New Roman" w:eastAsia="+mn-ea" w:hAnsi="Times New Roman"/>
          <w:sz w:val="24"/>
          <w:szCs w:val="24"/>
        </w:rPr>
      </w:pPr>
      <w:r>
        <w:rPr>
          <w:rFonts w:ascii="Times New Roman" w:eastAsia="+mn-ea" w:hAnsi="Times New Roman"/>
          <w:sz w:val="24"/>
          <w:szCs w:val="24"/>
        </w:rPr>
        <w:br w:type="page"/>
      </w:r>
    </w:p>
    <w:p w14:paraId="292143BC" w14:textId="77777777" w:rsidR="00C579DE" w:rsidRPr="00E10AFD" w:rsidRDefault="00C579DE" w:rsidP="000738D3">
      <w:pPr>
        <w:pStyle w:val="Paragraphedeliste"/>
        <w:numPr>
          <w:ilvl w:val="0"/>
          <w:numId w:val="63"/>
        </w:numPr>
        <w:ind w:left="709"/>
        <w:rPr>
          <w:rFonts w:ascii="Times New Roman" w:hAnsi="Times New Roman"/>
          <w:i/>
          <w:color w:val="5B9BD5" w:themeColor="accent1"/>
          <w:sz w:val="24"/>
          <w:szCs w:val="24"/>
        </w:rPr>
      </w:pPr>
      <w:r w:rsidRPr="00E10AFD">
        <w:rPr>
          <w:rFonts w:ascii="Times New Roman" w:hAnsi="Times New Roman"/>
          <w:i/>
          <w:color w:val="5B9BD5" w:themeColor="accent1"/>
          <w:sz w:val="24"/>
          <w:szCs w:val="24"/>
        </w:rPr>
        <w:lastRenderedPageBreak/>
        <w:t>De l’extension de titre (permis)</w:t>
      </w:r>
    </w:p>
    <w:p w14:paraId="7C305CD5"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Les articles 63 et 105, respectivement, du Code et du Règlement d’Hydrocarbures n’évoquent que l’extension du bloc. En effet,  au cas où le gisement s’étend au-delà du bloc d’exploitation sur une superficie libre de droit d'exploration, le contractant peut obtenir une extension du bloc initialement couvert par son droit d'exploration.</w:t>
      </w:r>
    </w:p>
    <w:p w14:paraId="666659E7"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En cas d'extension du gisement sur un bloc déjà Couvert par un droit d'exploration attribué à un autre contractant, les différents contractants sont tenus de conclure un accord pour son exploitation.</w:t>
      </w:r>
    </w:p>
    <w:p w14:paraId="7F93DCF0"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668FE436"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Selon les informations reçues du SGH, le cas pratique avec TOTAL E&amp;P RDC dans le bloc III, concerne plutôt l’extension du permis et non du bloc.</w:t>
      </w:r>
    </w:p>
    <w:p w14:paraId="3932E3B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705736ED"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En effet, une extension de permis est accordée par arrêté du Ministre, après examen de la demande et sans frais, au contractant qui n’a pas achevé, dans le délai, le programme des travaux prévus dans le contrat, et qui, de ce fait, sollicite une prorogation de la durée d’exécution des travaux.</w:t>
      </w:r>
    </w:p>
    <w:p w14:paraId="5CE31290"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0E4C10E2"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TOTAL a fait les travaux d’exploration jusqu’à la sismique qui a fait état de l’existence de trois prospects à une profondeur de 4 Km. Mais, au regard des conditions climatiques, géographiques et d’accessibilité très difficiles dans la zone d’exploitation, TOTAL a estimé que le projet sera très coûteux et risque de ne pas être rentable. Ces conditions difficiles avaient nécessité des travaux supplémentaires pour la poursuite du programme.</w:t>
      </w:r>
    </w:p>
    <w:p w14:paraId="1730572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 xml:space="preserve">C’est pour cette raison que TOTAL avait demandé l’extension du permis et sollicite du Gouvernement Congolais que les termes du Contrat soient renégocier, notamment pour bénéficier de certaines exonérations, </w:t>
      </w:r>
      <w:r w:rsidRPr="00232529">
        <w:rPr>
          <w:rFonts w:ascii="Times New Roman" w:hAnsi="Times New Roman"/>
          <w:b/>
          <w:color w:val="212121"/>
          <w:sz w:val="24"/>
          <w:szCs w:val="24"/>
        </w:rPr>
        <w:t>avant de procéder aux travaux de forage</w:t>
      </w:r>
      <w:r w:rsidRPr="00232529">
        <w:rPr>
          <w:rFonts w:ascii="Times New Roman" w:hAnsi="Times New Roman"/>
          <w:color w:val="212121"/>
          <w:sz w:val="24"/>
          <w:szCs w:val="24"/>
        </w:rPr>
        <w:t>.</w:t>
      </w:r>
    </w:p>
    <w:p w14:paraId="348CAE6A"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140BEF47"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 xml:space="preserve">Une extension du permis d’une année lui a été accordée. Concernant la renégociation des termes du Contrat, le Gouvernement estime bon de traiter de cette </w:t>
      </w:r>
      <w:r w:rsidRPr="00232529">
        <w:rPr>
          <w:rFonts w:ascii="Times New Roman" w:hAnsi="Times New Roman"/>
          <w:b/>
          <w:color w:val="212121"/>
          <w:sz w:val="24"/>
          <w:szCs w:val="24"/>
        </w:rPr>
        <w:t>question après le forage</w:t>
      </w:r>
      <w:r w:rsidRPr="00232529">
        <w:rPr>
          <w:rFonts w:ascii="Times New Roman" w:hAnsi="Times New Roman"/>
          <w:color w:val="212121"/>
          <w:sz w:val="24"/>
          <w:szCs w:val="24"/>
        </w:rPr>
        <w:t>.</w:t>
      </w:r>
    </w:p>
    <w:p w14:paraId="28E7374F"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C’est là le niveau des discussions.</w:t>
      </w:r>
    </w:p>
    <w:p w14:paraId="4941943C"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p>
    <w:p w14:paraId="73E0A706" w14:textId="77777777" w:rsidR="00C579DE" w:rsidRPr="00232529" w:rsidRDefault="00C579DE" w:rsidP="00C579DE">
      <w:pPr>
        <w:autoSpaceDE w:val="0"/>
        <w:autoSpaceDN w:val="0"/>
        <w:adjustRightInd w:val="0"/>
        <w:spacing w:after="0" w:line="240" w:lineRule="auto"/>
        <w:jc w:val="both"/>
        <w:rPr>
          <w:rFonts w:ascii="Times New Roman" w:hAnsi="Times New Roman"/>
          <w:color w:val="212121"/>
          <w:sz w:val="24"/>
          <w:szCs w:val="24"/>
        </w:rPr>
      </w:pPr>
      <w:r w:rsidRPr="00232529">
        <w:rPr>
          <w:rFonts w:ascii="Times New Roman" w:hAnsi="Times New Roman"/>
          <w:color w:val="212121"/>
          <w:sz w:val="24"/>
          <w:szCs w:val="24"/>
        </w:rPr>
        <w:t>L’arrêté du Ministre des Hydrocarbures qui a accordé l’extension de permis à TOTAL peut être consulté sur le site de l’ITIE-RDC.</w:t>
      </w:r>
    </w:p>
    <w:p w14:paraId="0C747A3C" w14:textId="77777777" w:rsidR="00C579DE" w:rsidRPr="00840E13" w:rsidRDefault="00C579DE" w:rsidP="00C579DE">
      <w:pPr>
        <w:autoSpaceDE w:val="0"/>
        <w:autoSpaceDN w:val="0"/>
        <w:adjustRightInd w:val="0"/>
        <w:spacing w:after="0"/>
        <w:jc w:val="both"/>
        <w:rPr>
          <w:rFonts w:ascii="Times New Roman" w:eastAsiaTheme="minorHAnsi" w:hAnsi="Times New Roman"/>
          <w:bCs/>
          <w:color w:val="212121"/>
          <w:sz w:val="24"/>
          <w:szCs w:val="24"/>
        </w:rPr>
      </w:pPr>
    </w:p>
    <w:p w14:paraId="6B81F662" w14:textId="468D15DF" w:rsidR="00C579DE" w:rsidRPr="00840E13" w:rsidRDefault="00C579DE" w:rsidP="00232529">
      <w:pPr>
        <w:pStyle w:val="Titre2"/>
        <w:ind w:left="567" w:hanging="567"/>
        <w:jc w:val="both"/>
        <w:rPr>
          <w:rFonts w:ascii="Times New Roman" w:hAnsi="Times New Roman" w:cs="Times New Roman"/>
          <w:sz w:val="24"/>
          <w:szCs w:val="24"/>
        </w:rPr>
      </w:pPr>
      <w:bookmarkStart w:id="115" w:name="_Toc516047984"/>
      <w:bookmarkStart w:id="116" w:name="_Toc518468068"/>
      <w:r>
        <w:rPr>
          <w:rFonts w:ascii="Times New Roman" w:hAnsi="Times New Roman" w:cs="Times New Roman"/>
          <w:sz w:val="24"/>
          <w:szCs w:val="24"/>
        </w:rPr>
        <w:t xml:space="preserve">II.2. </w:t>
      </w:r>
      <w:r w:rsidR="00A570EC" w:rsidRPr="00840E13">
        <w:rPr>
          <w:rFonts w:ascii="Times New Roman" w:hAnsi="Times New Roman" w:cs="Times New Roman"/>
          <w:caps w:val="0"/>
          <w:sz w:val="24"/>
          <w:szCs w:val="24"/>
        </w:rPr>
        <w:t xml:space="preserve">Procédure d’octroi des droits miniers et/ou de carrières et de la délivrance des titres miniers et de </w:t>
      </w:r>
      <w:bookmarkEnd w:id="115"/>
      <w:r w:rsidR="00A570EC" w:rsidRPr="00840E13">
        <w:rPr>
          <w:rFonts w:ascii="Times New Roman" w:hAnsi="Times New Roman" w:cs="Times New Roman"/>
          <w:caps w:val="0"/>
          <w:sz w:val="24"/>
          <w:szCs w:val="24"/>
        </w:rPr>
        <w:t>carrières</w:t>
      </w:r>
      <w:bookmarkEnd w:id="116"/>
    </w:p>
    <w:p w14:paraId="73D5FC58" w14:textId="77777777" w:rsidR="00C579DE" w:rsidRPr="00840E13" w:rsidRDefault="00C579DE" w:rsidP="00C579DE">
      <w:pPr>
        <w:tabs>
          <w:tab w:val="left" w:pos="8505"/>
        </w:tabs>
        <w:jc w:val="both"/>
        <w:rPr>
          <w:rFonts w:ascii="Times New Roman" w:hAnsi="Times New Roman"/>
          <w:sz w:val="24"/>
          <w:szCs w:val="24"/>
        </w:rPr>
      </w:pPr>
      <w:r w:rsidRPr="00840E13">
        <w:rPr>
          <w:rFonts w:ascii="Times New Roman" w:hAnsi="Times New Roman"/>
          <w:sz w:val="24"/>
          <w:szCs w:val="24"/>
        </w:rPr>
        <w:t>La procédure d’octroi des droits miniers et/ou de carrière est régie par les Articles 33 à 49 du Code Minier tel que modifié et complété par la Loi n</w:t>
      </w:r>
      <w:r w:rsidRPr="00840E13">
        <w:rPr>
          <w:rFonts w:ascii="Times New Roman" w:hAnsi="Times New Roman"/>
          <w:sz w:val="24"/>
          <w:szCs w:val="24"/>
          <w:vertAlign w:val="superscript"/>
        </w:rPr>
        <w:t>o</w:t>
      </w:r>
      <w:r w:rsidRPr="00840E13">
        <w:rPr>
          <w:rFonts w:ascii="Times New Roman" w:hAnsi="Times New Roman"/>
          <w:sz w:val="24"/>
          <w:szCs w:val="24"/>
        </w:rPr>
        <w:t xml:space="preserve"> 18/001 du 09 mars 2018. Elle prévoit l’octroi des titres, soit par voie d’appel d’offres ou par demande des droits. </w:t>
      </w:r>
      <w:r>
        <w:rPr>
          <w:rFonts w:ascii="Times New Roman" w:hAnsi="Times New Roman"/>
          <w:sz w:val="24"/>
          <w:szCs w:val="24"/>
        </w:rPr>
        <w:t xml:space="preserve">La procédure </w:t>
      </w:r>
      <w:r w:rsidRPr="00840E13">
        <w:rPr>
          <w:rFonts w:ascii="Times New Roman" w:hAnsi="Times New Roman"/>
          <w:sz w:val="24"/>
          <w:szCs w:val="24"/>
        </w:rPr>
        <w:t>d’octroi des droits</w:t>
      </w:r>
      <w:r>
        <w:rPr>
          <w:rFonts w:ascii="Times New Roman" w:hAnsi="Times New Roman"/>
          <w:sz w:val="24"/>
          <w:szCs w:val="24"/>
        </w:rPr>
        <w:t xml:space="preserve"> </w:t>
      </w:r>
      <w:r w:rsidRPr="00840E13">
        <w:rPr>
          <w:rFonts w:ascii="Times New Roman" w:hAnsi="Times New Roman"/>
          <w:sz w:val="24"/>
          <w:szCs w:val="24"/>
        </w:rPr>
        <w:t>par voie d’appel d’offres</w:t>
      </w:r>
      <w:r>
        <w:rPr>
          <w:rFonts w:ascii="Times New Roman" w:hAnsi="Times New Roman"/>
          <w:sz w:val="24"/>
          <w:szCs w:val="24"/>
        </w:rPr>
        <w:t xml:space="preserve"> est requise pour </w:t>
      </w:r>
      <w:r w:rsidRPr="00840E13">
        <w:rPr>
          <w:rFonts w:ascii="Times New Roman" w:hAnsi="Times New Roman"/>
          <w:iCs/>
          <w:color w:val="000000"/>
          <w:sz w:val="24"/>
          <w:szCs w:val="24"/>
        </w:rPr>
        <w:t>tout</w:t>
      </w:r>
      <w:r w:rsidRPr="00840E13">
        <w:rPr>
          <w:rFonts w:ascii="Times New Roman" w:hAnsi="Times New Roman"/>
          <w:sz w:val="24"/>
          <w:szCs w:val="24"/>
        </w:rPr>
        <w:t xml:space="preserve"> </w:t>
      </w:r>
      <w:r w:rsidRPr="00840E13">
        <w:rPr>
          <w:rFonts w:ascii="Times New Roman" w:hAnsi="Times New Roman"/>
          <w:iCs/>
          <w:color w:val="000000"/>
          <w:sz w:val="24"/>
          <w:szCs w:val="24"/>
        </w:rPr>
        <w:t>gisement é</w:t>
      </w:r>
      <w:r>
        <w:rPr>
          <w:rFonts w:ascii="Times New Roman" w:hAnsi="Times New Roman"/>
          <w:iCs/>
          <w:color w:val="000000"/>
          <w:sz w:val="24"/>
          <w:szCs w:val="24"/>
        </w:rPr>
        <w:t>tudié et</w:t>
      </w:r>
      <w:r w:rsidRPr="00840E13">
        <w:rPr>
          <w:rFonts w:ascii="Times New Roman" w:hAnsi="Times New Roman"/>
          <w:iCs/>
          <w:color w:val="000000"/>
          <w:sz w:val="24"/>
          <w:szCs w:val="24"/>
        </w:rPr>
        <w:t xml:space="preserve"> documenté</w:t>
      </w:r>
      <w:r>
        <w:rPr>
          <w:rFonts w:ascii="Times New Roman" w:hAnsi="Times New Roman"/>
          <w:iCs/>
          <w:color w:val="000000"/>
          <w:sz w:val="24"/>
          <w:szCs w:val="24"/>
        </w:rPr>
        <w:t xml:space="preserve"> par l’Etat.</w:t>
      </w:r>
      <w:r>
        <w:rPr>
          <w:rFonts w:ascii="Times New Roman" w:hAnsi="Times New Roman"/>
          <w:sz w:val="24"/>
          <w:szCs w:val="24"/>
        </w:rPr>
        <w:t xml:space="preserve"> </w:t>
      </w:r>
    </w:p>
    <w:p w14:paraId="733EA7CA" w14:textId="77777777" w:rsidR="00C579DE" w:rsidRPr="0056364C" w:rsidRDefault="00C579DE" w:rsidP="000738D3">
      <w:pPr>
        <w:pStyle w:val="Paragraphedeliste"/>
        <w:numPr>
          <w:ilvl w:val="0"/>
          <w:numId w:val="64"/>
        </w:numPr>
        <w:ind w:left="567" w:hanging="282"/>
        <w:rPr>
          <w:rFonts w:ascii="Times New Roman" w:hAnsi="Times New Roman"/>
          <w:b/>
          <w:i/>
          <w:color w:val="5B9BD5" w:themeColor="accent1"/>
          <w:sz w:val="24"/>
          <w:szCs w:val="24"/>
        </w:rPr>
      </w:pPr>
      <w:bookmarkStart w:id="117" w:name="_Toc516047985"/>
      <w:r w:rsidRPr="0056364C">
        <w:rPr>
          <w:rFonts w:ascii="Times New Roman" w:hAnsi="Times New Roman"/>
          <w:b/>
          <w:i/>
          <w:color w:val="5B9BD5" w:themeColor="accent1"/>
          <w:sz w:val="24"/>
          <w:szCs w:val="24"/>
        </w:rPr>
        <w:t>Octroi des droits par appel d’offres (art. 33 al. 1, 2, 3, 4 et 7)</w:t>
      </w:r>
      <w:bookmarkEnd w:id="117"/>
      <w:r w:rsidRPr="0056364C">
        <w:rPr>
          <w:rFonts w:ascii="Times New Roman" w:hAnsi="Times New Roman"/>
          <w:b/>
          <w:i/>
          <w:color w:val="5B9BD5" w:themeColor="accent1"/>
          <w:sz w:val="24"/>
          <w:szCs w:val="24"/>
        </w:rPr>
        <w:t xml:space="preserve"> </w:t>
      </w:r>
    </w:p>
    <w:p w14:paraId="45B7D8E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Le Gouvernement, par le truchement du Ministre, soumet à l’appel d’offres, ouvert ou restreint, les</w:t>
      </w:r>
      <w:r w:rsidRPr="00840E13">
        <w:rPr>
          <w:rFonts w:ascii="Times New Roman" w:hAnsi="Times New Roman"/>
          <w:sz w:val="24"/>
          <w:szCs w:val="24"/>
        </w:rPr>
        <w:t xml:space="preserve"> </w:t>
      </w:r>
      <w:r w:rsidRPr="00840E13">
        <w:rPr>
          <w:rFonts w:ascii="Times New Roman" w:hAnsi="Times New Roman"/>
          <w:iCs/>
          <w:color w:val="000000"/>
          <w:sz w:val="24"/>
          <w:szCs w:val="24"/>
        </w:rPr>
        <w:t>droits miniers et de carrières portant sur tout</w:t>
      </w:r>
      <w:r w:rsidRPr="00840E13">
        <w:rPr>
          <w:rFonts w:ascii="Times New Roman" w:hAnsi="Times New Roman"/>
          <w:sz w:val="24"/>
          <w:szCs w:val="24"/>
        </w:rPr>
        <w:t xml:space="preserve"> </w:t>
      </w:r>
      <w:r w:rsidRPr="00840E13">
        <w:rPr>
          <w:rFonts w:ascii="Times New Roman" w:hAnsi="Times New Roman"/>
          <w:iCs/>
          <w:color w:val="000000"/>
          <w:sz w:val="24"/>
          <w:szCs w:val="24"/>
        </w:rPr>
        <w:t>gisement étudié, documenté ou éventuellement</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travaillé par l’Etat, à travers ses services. </w:t>
      </w:r>
    </w:p>
    <w:p w14:paraId="3909251B"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p>
    <w:p w14:paraId="2EE15B12"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Dans ce cas, le Ministre réserve, par arrêté, les droits miniers sur le gisement à soumettre à l’appel d’offres. Avant de réserver des autorisations des carrières pour l’appel d’offres, le Ministre consulte le Ministre provincial des mines et la communauté locale concernée dans le cadre d’une commission de consultation dont les modalités sont fixées par voie réglementaire. </w:t>
      </w:r>
    </w:p>
    <w:p w14:paraId="166F8859"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lastRenderedPageBreak/>
        <w:t xml:space="preserve">La réservation des droits miniers et/ ou de carrières sur le gisement soumis à l’appel d’offres est confirmée par le Premier Ministre dans les trente jours de l’entrée en vigueur de l’arrêté y relatif du Ministre. </w:t>
      </w:r>
    </w:p>
    <w:p w14:paraId="4FCE8AC2"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41AE18CE" w14:textId="77777777" w:rsidR="00C579DE" w:rsidRPr="00840E13" w:rsidRDefault="00C579DE" w:rsidP="00C579DE">
      <w:pPr>
        <w:tabs>
          <w:tab w:val="left" w:pos="8505"/>
        </w:tabs>
        <w:spacing w:after="120"/>
        <w:jc w:val="both"/>
        <w:rPr>
          <w:rFonts w:ascii="Times New Roman" w:hAnsi="Times New Roman"/>
          <w:sz w:val="24"/>
          <w:szCs w:val="24"/>
        </w:rPr>
      </w:pPr>
      <w:r w:rsidRPr="00840E13">
        <w:rPr>
          <w:rFonts w:ascii="Times New Roman" w:hAnsi="Times New Roman"/>
          <w:sz w:val="24"/>
          <w:szCs w:val="24"/>
        </w:rPr>
        <w:t>Les offres déposées sont examinées promptement par une Commission Interministérielle dont les membres sont nommés et convoqués par le Ministre afin de sélectionner la meilleure offre. Celle-ci est sélectionnée sur la base des critères suivants :</w:t>
      </w:r>
    </w:p>
    <w:p w14:paraId="4EFA78FE"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 xml:space="preserve">a) le programme des opérations proposées et des engagements des dépenses financières y afférentes ; </w:t>
      </w:r>
    </w:p>
    <w:p w14:paraId="7A008029"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 xml:space="preserve">b) les ressources financières et techniques disponibles de l’offrant ; </w:t>
      </w:r>
    </w:p>
    <w:p w14:paraId="0041A793"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c) l’expérience antérieure de l’offrant dans la conduite des opérations proposées ; et</w:t>
      </w:r>
    </w:p>
    <w:p w14:paraId="71C65D7C" w14:textId="77777777" w:rsidR="00C579DE" w:rsidRPr="00840E13" w:rsidRDefault="00C579DE" w:rsidP="00C579DE">
      <w:pPr>
        <w:tabs>
          <w:tab w:val="left" w:pos="8505"/>
        </w:tabs>
        <w:spacing w:after="0"/>
        <w:ind w:left="1134" w:hanging="284"/>
        <w:jc w:val="both"/>
        <w:rPr>
          <w:rFonts w:ascii="Times New Roman" w:hAnsi="Times New Roman"/>
          <w:sz w:val="24"/>
          <w:szCs w:val="24"/>
        </w:rPr>
      </w:pPr>
      <w:r w:rsidRPr="00840E13">
        <w:rPr>
          <w:rFonts w:ascii="Times New Roman" w:hAnsi="Times New Roman"/>
          <w:sz w:val="24"/>
          <w:szCs w:val="24"/>
        </w:rPr>
        <w:t>d) divers autres avantages socio-économiques pour l’Etat, la province et la communauté environnante, y compris le bonus de signature offert.</w:t>
      </w:r>
    </w:p>
    <w:p w14:paraId="61FD48E5" w14:textId="77777777" w:rsidR="00C579DE" w:rsidRPr="00840E13" w:rsidRDefault="00C579DE" w:rsidP="00C579DE">
      <w:pPr>
        <w:tabs>
          <w:tab w:val="left" w:pos="8505"/>
        </w:tabs>
        <w:jc w:val="both"/>
        <w:rPr>
          <w:rFonts w:ascii="Times New Roman" w:hAnsi="Times New Roman"/>
          <w:sz w:val="24"/>
          <w:szCs w:val="24"/>
        </w:rPr>
      </w:pPr>
      <w:r w:rsidRPr="00840E13">
        <w:rPr>
          <w:rFonts w:ascii="Times New Roman" w:hAnsi="Times New Roman"/>
          <w:sz w:val="24"/>
          <w:szCs w:val="24"/>
        </w:rPr>
        <w:t>A la fin de la procédure, le Ministre publie le résultat de la sélection et la levée de la réservation.</w:t>
      </w:r>
      <w:r>
        <w:rPr>
          <w:rFonts w:ascii="Times New Roman" w:hAnsi="Times New Roman"/>
          <w:sz w:val="24"/>
          <w:szCs w:val="24"/>
        </w:rPr>
        <w:t xml:space="preserve"> La publication se fait au Journal Officiel, dans les journaux locaux et internationaux spécialisés. </w:t>
      </w:r>
    </w:p>
    <w:p w14:paraId="4CE2622A"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L’appel d’offres est conclu endéans neuf mois à compter de la réservation du gisement à soumettre à l’appel d’offres. Elle se fait conformément à la procédure prévue par la législation congolaise en matière de passation des marchés publics et à celle généralement admise ou reconnue par la pratique minière internationale. </w:t>
      </w:r>
    </w:p>
    <w:p w14:paraId="23DCD175"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695C3411"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114663B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
          <w:bCs/>
          <w:iCs/>
          <w:color w:val="000000"/>
          <w:sz w:val="24"/>
          <w:szCs w:val="24"/>
        </w:rPr>
        <w:t>Procédure d’octroi des droits miniers par appel d’offres</w:t>
      </w:r>
    </w:p>
    <w:p w14:paraId="546C40C4"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
          <w:bCs/>
          <w:iCs/>
          <w:color w:val="000000"/>
          <w:sz w:val="24"/>
          <w:szCs w:val="24"/>
        </w:rPr>
        <w:t xml:space="preserve"> </w:t>
      </w:r>
      <w:r w:rsidRPr="00840E13">
        <w:rPr>
          <w:rFonts w:ascii="Times New Roman" w:hAnsi="Times New Roman"/>
          <w:iCs/>
          <w:noProof/>
          <w:color w:val="000000"/>
          <w:sz w:val="24"/>
          <w:szCs w:val="24"/>
          <w:lang w:eastAsia="fr-FR"/>
        </w:rPr>
        <w:drawing>
          <wp:inline distT="0" distB="0" distL="0" distR="0" wp14:anchorId="7A639ACB" wp14:editId="5A366A16">
            <wp:extent cx="6304648" cy="3514725"/>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a procedure d'octroi licence minier.jpg"/>
                    <pic:cNvPicPr/>
                  </pic:nvPicPr>
                  <pic:blipFill rotWithShape="1">
                    <a:blip r:embed="rId34" cstate="print">
                      <a:extLst>
                        <a:ext uri="{28A0092B-C50C-407E-A947-70E740481C1C}">
                          <a14:useLocalDpi xmlns:a14="http://schemas.microsoft.com/office/drawing/2010/main" val="0"/>
                        </a:ext>
                      </a:extLst>
                    </a:blip>
                    <a:srcRect t="11933"/>
                    <a:stretch/>
                  </pic:blipFill>
                  <pic:spPr bwMode="auto">
                    <a:xfrm>
                      <a:off x="0" y="0"/>
                      <a:ext cx="6303645" cy="3514166"/>
                    </a:xfrm>
                    <a:prstGeom prst="rect">
                      <a:avLst/>
                    </a:prstGeom>
                    <a:ln>
                      <a:noFill/>
                    </a:ln>
                    <a:extLst>
                      <a:ext uri="{53640926-AAD7-44D8-BBD7-CCE9431645EC}">
                        <a14:shadowObscured xmlns:a14="http://schemas.microsoft.com/office/drawing/2010/main"/>
                      </a:ext>
                    </a:extLst>
                  </pic:spPr>
                </pic:pic>
              </a:graphicData>
            </a:graphic>
          </wp:inline>
        </w:drawing>
      </w:r>
    </w:p>
    <w:p w14:paraId="57FD7E83" w14:textId="77777777" w:rsidR="00C579DE" w:rsidRPr="00A12860" w:rsidRDefault="00C579DE" w:rsidP="00A12860">
      <w:pPr>
        <w:pStyle w:val="Paragraphedeliste"/>
        <w:numPr>
          <w:ilvl w:val="0"/>
          <w:numId w:val="65"/>
        </w:numPr>
        <w:rPr>
          <w:rFonts w:ascii="Times New Roman" w:hAnsi="Times New Roman"/>
          <w:b/>
          <w:i/>
          <w:sz w:val="24"/>
          <w:szCs w:val="24"/>
        </w:rPr>
      </w:pPr>
      <w:bookmarkStart w:id="118" w:name="_Toc516047986"/>
      <w:r w:rsidRPr="00A12860">
        <w:rPr>
          <w:rFonts w:ascii="Times New Roman" w:hAnsi="Times New Roman"/>
          <w:b/>
          <w:i/>
          <w:sz w:val="24"/>
          <w:szCs w:val="24"/>
        </w:rPr>
        <w:t>Octroi par demande des droits (art. 34 al. 1er )</w:t>
      </w:r>
      <w:bookmarkEnd w:id="118"/>
    </w:p>
    <w:p w14:paraId="32EB433A" w14:textId="77777777" w:rsidR="00C579DE" w:rsidRPr="00840E13" w:rsidRDefault="00C579DE" w:rsidP="00C579DE">
      <w:pPr>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Sans préjudice de l’octroi des droits miniers et/ou de carrières suivant la procédure d’appel d’offres prévue</w:t>
      </w:r>
      <w:r w:rsidRPr="00840E13">
        <w:rPr>
          <w:rFonts w:ascii="Times New Roman" w:hAnsi="Times New Roman"/>
          <w:sz w:val="24"/>
          <w:szCs w:val="24"/>
        </w:rPr>
        <w:t xml:space="preserve"> </w:t>
      </w:r>
      <w:r w:rsidRPr="00840E13">
        <w:rPr>
          <w:rFonts w:ascii="Times New Roman" w:hAnsi="Times New Roman"/>
          <w:iCs/>
          <w:color w:val="000000"/>
          <w:sz w:val="24"/>
          <w:szCs w:val="24"/>
        </w:rPr>
        <w:t>à l’article 33 ci-dessus, et sauf si elles sont</w:t>
      </w:r>
      <w:r w:rsidRPr="00840E13">
        <w:rPr>
          <w:rFonts w:ascii="Times New Roman" w:hAnsi="Times New Roman"/>
          <w:sz w:val="24"/>
          <w:szCs w:val="24"/>
        </w:rPr>
        <w:t xml:space="preserve"> </w:t>
      </w:r>
      <w:r w:rsidRPr="00840E13">
        <w:rPr>
          <w:rFonts w:ascii="Times New Roman" w:hAnsi="Times New Roman"/>
          <w:iCs/>
          <w:color w:val="000000"/>
          <w:sz w:val="24"/>
          <w:szCs w:val="24"/>
        </w:rPr>
        <w:t>irrecevables, les demandes des droits miniers et/ou</w:t>
      </w:r>
      <w:r w:rsidRPr="00840E13">
        <w:rPr>
          <w:rFonts w:ascii="Times New Roman" w:hAnsi="Times New Roman"/>
          <w:sz w:val="24"/>
          <w:szCs w:val="24"/>
        </w:rPr>
        <w:t xml:space="preserve"> </w:t>
      </w:r>
      <w:r w:rsidRPr="00840E13">
        <w:rPr>
          <w:rFonts w:ascii="Times New Roman" w:hAnsi="Times New Roman"/>
          <w:iCs/>
          <w:color w:val="000000"/>
          <w:sz w:val="24"/>
          <w:szCs w:val="24"/>
        </w:rPr>
        <w:lastRenderedPageBreak/>
        <w:t>de carrières pour un périmètre donné sont inscrites</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dans l’ordre chronologique de leur dépôt suivant </w:t>
      </w:r>
      <w:r w:rsidRPr="00840E13">
        <w:rPr>
          <w:rFonts w:ascii="Times New Roman" w:hAnsi="Times New Roman"/>
          <w:sz w:val="24"/>
          <w:szCs w:val="24"/>
        </w:rPr>
        <w:t>la règle du premier-venu premier-servi.</w:t>
      </w:r>
    </w:p>
    <w:p w14:paraId="067EE78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iCs/>
          <w:color w:val="000000"/>
          <w:sz w:val="24"/>
          <w:szCs w:val="24"/>
        </w:rPr>
        <w:t xml:space="preserve"> </w:t>
      </w:r>
    </w:p>
    <w:p w14:paraId="4D850F9E"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bCs/>
          <w:iCs/>
          <w:color w:val="000000"/>
          <w:sz w:val="24"/>
          <w:szCs w:val="24"/>
        </w:rPr>
        <w:t>Conformément à l’article 35 al. 1</w:t>
      </w:r>
      <w:r w:rsidRPr="00840E13">
        <w:rPr>
          <w:rFonts w:ascii="Times New Roman" w:hAnsi="Times New Roman"/>
          <w:bCs/>
          <w:iCs/>
          <w:color w:val="000000"/>
          <w:sz w:val="24"/>
          <w:szCs w:val="24"/>
          <w:vertAlign w:val="superscript"/>
        </w:rPr>
        <w:t xml:space="preserve">er </w:t>
      </w:r>
      <w:r w:rsidRPr="00840E13">
        <w:rPr>
          <w:rFonts w:ascii="Times New Roman" w:hAnsi="Times New Roman"/>
          <w:sz w:val="24"/>
          <w:szCs w:val="24"/>
        </w:rPr>
        <w:t>tel que modifié et complété, t</w:t>
      </w:r>
      <w:r w:rsidRPr="00840E13">
        <w:rPr>
          <w:rFonts w:ascii="Times New Roman" w:hAnsi="Times New Roman"/>
          <w:iCs/>
          <w:color w:val="000000"/>
          <w:sz w:val="24"/>
          <w:szCs w:val="24"/>
        </w:rPr>
        <w:t>oute demande des droits miniers ou de carrières est rédigée sur un formulaire à retirer auprès du</w:t>
      </w:r>
      <w:r w:rsidRPr="00840E13">
        <w:rPr>
          <w:rFonts w:ascii="Times New Roman" w:hAnsi="Times New Roman"/>
          <w:sz w:val="24"/>
          <w:szCs w:val="24"/>
        </w:rPr>
        <w:t xml:space="preserve"> </w:t>
      </w:r>
      <w:r w:rsidRPr="00840E13">
        <w:rPr>
          <w:rFonts w:ascii="Times New Roman" w:hAnsi="Times New Roman"/>
          <w:iCs/>
          <w:color w:val="000000"/>
          <w:sz w:val="24"/>
          <w:szCs w:val="24"/>
        </w:rPr>
        <w:t>Cadastre minier pour le droit concerné et comprend</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des renseignements ci-après : </w:t>
      </w:r>
    </w:p>
    <w:p w14:paraId="04B4F79E"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les statuts, l’inscription au Registre de Commerce et de Crédit Mobilier, et la preuve de  publication au Journal officiel ;  </w:t>
      </w:r>
    </w:p>
    <w:p w14:paraId="2D8C2C5C"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les renseignements sur l’identifiant fiscal ; </w:t>
      </w:r>
    </w:p>
    <w:p w14:paraId="758E9598"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la qualité et le pouvoir de la personne habilitée à engager la personne morale et l’identité de son</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mandataire si la demande est introduite par ce</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 xml:space="preserve">dernier ; </w:t>
      </w:r>
    </w:p>
    <w:p w14:paraId="7A0DCFB1"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l’adresse du siège social de la personne morale, ainsi que tous les changements ultérieurs; </w:t>
      </w:r>
    </w:p>
    <w:p w14:paraId="7EE5B3A8"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le type de droit minier ou de carrières demandé ;</w:t>
      </w:r>
    </w:p>
    <w:p w14:paraId="4D2A25B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sz w:val="24"/>
          <w:szCs w:val="24"/>
        </w:rPr>
      </w:pPr>
      <w:r w:rsidRPr="00840E13">
        <w:rPr>
          <w:rFonts w:ascii="Times New Roman" w:hAnsi="Times New Roman" w:cs="Times New Roman"/>
          <w:iCs/>
          <w:color w:val="000000"/>
          <w:sz w:val="24"/>
          <w:szCs w:val="24"/>
        </w:rPr>
        <w:t xml:space="preserve">l’indication des substances minérales pour lesquelles le droit minier et/ou de carrières est sollicité ; </w:t>
      </w:r>
    </w:p>
    <w:p w14:paraId="64F50CA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l’emplacement géographique du périmètre sollicité ; </w:t>
      </w:r>
    </w:p>
    <w:p w14:paraId="27F27D11"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le nombre de carrés constituant la superficie du périmètre requis ; </w:t>
      </w:r>
    </w:p>
    <w:p w14:paraId="1CB4C354"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 xml:space="preserve">l’identité des sociétés affiliées du requérant ; </w:t>
      </w:r>
    </w:p>
    <w:p w14:paraId="5DB6324C"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284"/>
        <w:jc w:val="both"/>
        <w:rPr>
          <w:rFonts w:ascii="Times New Roman" w:hAnsi="Times New Roman" w:cs="Times New Roman"/>
          <w:sz w:val="24"/>
          <w:szCs w:val="24"/>
        </w:rPr>
      </w:pPr>
      <w:r w:rsidRPr="00840E13">
        <w:rPr>
          <w:rFonts w:ascii="Times New Roman" w:hAnsi="Times New Roman" w:cs="Times New Roman"/>
          <w:iCs/>
          <w:color w:val="000000"/>
          <w:sz w:val="24"/>
          <w:szCs w:val="24"/>
        </w:rPr>
        <w:t>la nature, le nombre et la superficie des périmètres de droit minier ou de carrières déjà</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détenus par le requérant et ses sociétés</w:t>
      </w:r>
      <w:r w:rsidRPr="00840E13">
        <w:rPr>
          <w:rFonts w:ascii="Times New Roman" w:hAnsi="Times New Roman" w:cs="Times New Roman"/>
          <w:sz w:val="24"/>
          <w:szCs w:val="24"/>
        </w:rPr>
        <w:t xml:space="preserve"> </w:t>
      </w:r>
      <w:r w:rsidRPr="00840E13">
        <w:rPr>
          <w:rFonts w:ascii="Times New Roman" w:hAnsi="Times New Roman" w:cs="Times New Roman"/>
          <w:iCs/>
          <w:color w:val="000000"/>
          <w:sz w:val="24"/>
          <w:szCs w:val="24"/>
        </w:rPr>
        <w:t xml:space="preserve">affiliées ; </w:t>
      </w:r>
    </w:p>
    <w:p w14:paraId="31B48412" w14:textId="77777777" w:rsidR="00C579DE" w:rsidRPr="00840E13" w:rsidRDefault="00C579DE" w:rsidP="000738D3">
      <w:pPr>
        <w:pStyle w:val="Paragraphedeliste"/>
        <w:numPr>
          <w:ilvl w:val="0"/>
          <w:numId w:val="2"/>
        </w:numPr>
        <w:tabs>
          <w:tab w:val="left" w:pos="3119"/>
        </w:tabs>
        <w:autoSpaceDE w:val="0"/>
        <w:autoSpaceDN w:val="0"/>
        <w:adjustRightInd w:val="0"/>
        <w:spacing w:before="240" w:after="0"/>
        <w:ind w:left="993" w:hanging="426"/>
        <w:jc w:val="both"/>
        <w:rPr>
          <w:rFonts w:ascii="Times New Roman" w:hAnsi="Times New Roman" w:cs="Times New Roman"/>
          <w:iCs/>
          <w:color w:val="000000"/>
          <w:sz w:val="24"/>
          <w:szCs w:val="24"/>
        </w:rPr>
      </w:pPr>
      <w:r w:rsidRPr="00840E13">
        <w:rPr>
          <w:rFonts w:ascii="Times New Roman" w:hAnsi="Times New Roman" w:cs="Times New Roman"/>
          <w:iCs/>
          <w:color w:val="000000"/>
          <w:sz w:val="24"/>
          <w:szCs w:val="24"/>
        </w:rPr>
        <w:t>la preuve de la capacité financière du requérant.</w:t>
      </w:r>
    </w:p>
    <w:p w14:paraId="753B870B" w14:textId="77777777" w:rsidR="00C579DE" w:rsidRPr="00840E13" w:rsidRDefault="00C579DE" w:rsidP="00C579DE">
      <w:pPr>
        <w:tabs>
          <w:tab w:val="left" w:pos="3119"/>
        </w:tabs>
        <w:autoSpaceDE w:val="0"/>
        <w:autoSpaceDN w:val="0"/>
        <w:adjustRightInd w:val="0"/>
        <w:spacing w:before="240" w:after="0" w:line="276" w:lineRule="auto"/>
        <w:ind w:left="284" w:hanging="284"/>
        <w:jc w:val="both"/>
        <w:rPr>
          <w:rFonts w:ascii="Times New Roman" w:hAnsi="Times New Roman"/>
          <w:iCs/>
          <w:color w:val="000000"/>
          <w:sz w:val="24"/>
          <w:szCs w:val="24"/>
        </w:rPr>
      </w:pPr>
    </w:p>
    <w:p w14:paraId="07B8AF6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bCs/>
          <w:iCs/>
          <w:color w:val="000000"/>
          <w:sz w:val="24"/>
          <w:szCs w:val="24"/>
        </w:rPr>
        <w:t>L’article 37 al. 1</w:t>
      </w:r>
      <w:r w:rsidRPr="00840E13">
        <w:rPr>
          <w:rFonts w:ascii="Times New Roman" w:hAnsi="Times New Roman"/>
          <w:bCs/>
          <w:iCs/>
          <w:color w:val="000000"/>
          <w:sz w:val="24"/>
          <w:szCs w:val="24"/>
          <w:vertAlign w:val="superscript"/>
        </w:rPr>
        <w:t>er</w:t>
      </w:r>
      <w:r w:rsidRPr="00840E13">
        <w:rPr>
          <w:rFonts w:ascii="Times New Roman" w:hAnsi="Times New Roman"/>
          <w:bCs/>
          <w:iCs/>
          <w:color w:val="000000"/>
          <w:sz w:val="24"/>
          <w:szCs w:val="24"/>
        </w:rPr>
        <w:t xml:space="preserve"> prévoit,</w:t>
      </w:r>
      <w:r w:rsidRPr="00840E13">
        <w:rPr>
          <w:rFonts w:ascii="Times New Roman" w:hAnsi="Times New Roman"/>
          <w:sz w:val="24"/>
          <w:szCs w:val="24"/>
        </w:rPr>
        <w:t xml:space="preserve"> </w:t>
      </w:r>
      <w:r w:rsidRPr="00840E13">
        <w:rPr>
          <w:rFonts w:ascii="Times New Roman" w:hAnsi="Times New Roman"/>
          <w:iCs/>
          <w:color w:val="000000"/>
          <w:sz w:val="24"/>
          <w:szCs w:val="24"/>
        </w:rPr>
        <w:t>en contrepartie de la prestation, au titre des frais de dépôt, un montant à l’occasion du dépôt</w:t>
      </w:r>
      <w:r w:rsidRPr="00840E13">
        <w:rPr>
          <w:rFonts w:ascii="Times New Roman" w:hAnsi="Times New Roman"/>
          <w:sz w:val="24"/>
          <w:szCs w:val="24"/>
        </w:rPr>
        <w:t xml:space="preserve"> </w:t>
      </w:r>
      <w:r w:rsidRPr="00840E13">
        <w:rPr>
          <w:rFonts w:ascii="Times New Roman" w:hAnsi="Times New Roman"/>
          <w:iCs/>
          <w:color w:val="000000"/>
          <w:sz w:val="24"/>
          <w:szCs w:val="24"/>
        </w:rPr>
        <w:t>de chaque demande d’institution, de renouvellement, d’extension, de mutation ou d’amodiation d’un droit</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minier ou de carrières. </w:t>
      </w:r>
    </w:p>
    <w:p w14:paraId="532DC661"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Après ce paiement, l’instruction commence dans un délai de vingt jours ouvrables au maximum à compter du dépôt de la demande. </w:t>
      </w:r>
    </w:p>
    <w:p w14:paraId="1E20476A" w14:textId="77777777" w:rsidR="00C579DE" w:rsidRPr="00840E13" w:rsidRDefault="00C579DE" w:rsidP="00C579DE">
      <w:pPr>
        <w:tabs>
          <w:tab w:val="left" w:pos="8505"/>
        </w:tabs>
        <w:autoSpaceDE w:val="0"/>
        <w:autoSpaceDN w:val="0"/>
        <w:adjustRightInd w:val="0"/>
        <w:spacing w:after="0" w:line="240" w:lineRule="auto"/>
        <w:ind w:left="567"/>
        <w:jc w:val="both"/>
        <w:rPr>
          <w:rFonts w:ascii="Times New Roman" w:hAnsi="Times New Roman"/>
          <w:iCs/>
          <w:color w:val="000000"/>
          <w:sz w:val="24"/>
          <w:szCs w:val="24"/>
        </w:rPr>
      </w:pPr>
    </w:p>
    <w:p w14:paraId="57606E9F" w14:textId="77777777" w:rsidR="00C579DE" w:rsidRPr="00840E13" w:rsidRDefault="00C579DE" w:rsidP="00C579DE">
      <w:pPr>
        <w:pStyle w:val="Paragraphedeliste"/>
        <w:numPr>
          <w:ilvl w:val="0"/>
          <w:numId w:val="1"/>
        </w:numPr>
        <w:tabs>
          <w:tab w:val="left" w:pos="993"/>
        </w:tabs>
        <w:autoSpaceDE w:val="0"/>
        <w:autoSpaceDN w:val="0"/>
        <w:adjustRightInd w:val="0"/>
        <w:spacing w:after="0" w:line="240" w:lineRule="auto"/>
        <w:ind w:left="284" w:firstLine="426"/>
        <w:contextualSpacing w:val="0"/>
        <w:jc w:val="both"/>
        <w:rPr>
          <w:rFonts w:ascii="Times New Roman" w:hAnsi="Times New Roman" w:cs="Times New Roman"/>
          <w:iCs/>
          <w:color w:val="000000"/>
          <w:sz w:val="24"/>
          <w:szCs w:val="24"/>
        </w:rPr>
      </w:pPr>
      <w:r w:rsidRPr="00840E13">
        <w:rPr>
          <w:rFonts w:ascii="Times New Roman" w:hAnsi="Times New Roman" w:cs="Times New Roman"/>
          <w:b/>
          <w:iCs/>
          <w:color w:val="000000"/>
          <w:sz w:val="24"/>
          <w:szCs w:val="24"/>
        </w:rPr>
        <w:t>De l’instruction cadastrale</w:t>
      </w:r>
      <w:r w:rsidRPr="00634EF7">
        <w:rPr>
          <w:rFonts w:ascii="Times New Roman" w:hAnsi="Times New Roman" w:cs="Times New Roman"/>
          <w:b/>
          <w:iCs/>
          <w:color w:val="000000"/>
          <w:sz w:val="24"/>
          <w:szCs w:val="24"/>
        </w:rPr>
        <w:t xml:space="preserve"> (article 40 al. 1, 3 et 4 nouveau</w:t>
      </w:r>
      <w:r w:rsidRPr="00840E13">
        <w:rPr>
          <w:rFonts w:ascii="Times New Roman" w:hAnsi="Times New Roman" w:cs="Times New Roman"/>
          <w:iCs/>
          <w:color w:val="000000"/>
          <w:sz w:val="24"/>
          <w:szCs w:val="24"/>
        </w:rPr>
        <w:t>).</w:t>
      </w:r>
      <w:r w:rsidRPr="00840E13">
        <w:rPr>
          <w:rFonts w:ascii="Times New Roman" w:hAnsi="Times New Roman" w:cs="Times New Roman"/>
          <w:b/>
          <w:iCs/>
          <w:color w:val="000000"/>
          <w:sz w:val="24"/>
          <w:szCs w:val="24"/>
        </w:rPr>
        <w:t xml:space="preserve"> </w:t>
      </w:r>
    </w:p>
    <w:p w14:paraId="29809DAF" w14:textId="77777777" w:rsidR="00C579DE" w:rsidRPr="00840E13" w:rsidRDefault="00C579DE" w:rsidP="00C579DE">
      <w:pPr>
        <w:tabs>
          <w:tab w:val="left" w:pos="8505"/>
        </w:tabs>
        <w:autoSpaceDE w:val="0"/>
        <w:autoSpaceDN w:val="0"/>
        <w:adjustRightInd w:val="0"/>
        <w:spacing w:line="240" w:lineRule="auto"/>
        <w:ind w:left="284"/>
        <w:jc w:val="both"/>
        <w:rPr>
          <w:rFonts w:ascii="Times New Roman" w:hAnsi="Times New Roman"/>
          <w:iCs/>
          <w:color w:val="000000"/>
          <w:sz w:val="24"/>
          <w:szCs w:val="24"/>
        </w:rPr>
      </w:pPr>
    </w:p>
    <w:p w14:paraId="462E06D5" w14:textId="77777777" w:rsidR="00C579DE" w:rsidRPr="00840E13" w:rsidRDefault="00C579DE" w:rsidP="00C579DE">
      <w:pPr>
        <w:tabs>
          <w:tab w:val="left" w:pos="8505"/>
        </w:tabs>
        <w:autoSpaceDE w:val="0"/>
        <w:autoSpaceDN w:val="0"/>
        <w:adjustRightInd w:val="0"/>
        <w:spacing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Aux fins d’instruction, le Cadastre minier vérifie si :</w:t>
      </w:r>
    </w:p>
    <w:p w14:paraId="6EC9056C"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a.</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le requérant est éligible pour le type de droit minier et/ou de carrières demandé;</w:t>
      </w:r>
    </w:p>
    <w:p w14:paraId="30E1FD97"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b.</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 xml:space="preserve">les limites du nombre de droit minier et/ou de carrières, de la forme et de la superficie du Périmètre demandé ont été respectées ;  </w:t>
      </w:r>
    </w:p>
    <w:p w14:paraId="68CA5F59" w14:textId="77777777" w:rsidR="00C579DE" w:rsidRPr="00840E13" w:rsidRDefault="00C579DE" w:rsidP="00C579DE">
      <w:pPr>
        <w:tabs>
          <w:tab w:val="left" w:pos="8505"/>
        </w:tabs>
        <w:autoSpaceDE w:val="0"/>
        <w:autoSpaceDN w:val="0"/>
        <w:adjustRightInd w:val="0"/>
        <w:spacing w:after="0" w:line="240" w:lineRule="auto"/>
        <w:ind w:hanging="284"/>
        <w:jc w:val="both"/>
        <w:rPr>
          <w:rFonts w:ascii="Times New Roman" w:hAnsi="Times New Roman"/>
          <w:iCs/>
          <w:color w:val="000000"/>
          <w:sz w:val="24"/>
          <w:szCs w:val="24"/>
        </w:rPr>
      </w:pPr>
      <w:r>
        <w:rPr>
          <w:rFonts w:ascii="Times New Roman" w:hAnsi="Times New Roman"/>
          <w:b/>
          <w:bCs/>
          <w:iCs/>
          <w:color w:val="000000"/>
          <w:sz w:val="24"/>
          <w:szCs w:val="24"/>
        </w:rPr>
        <w:t xml:space="preserve">    </w:t>
      </w:r>
      <w:r w:rsidRPr="00840E13">
        <w:rPr>
          <w:rFonts w:ascii="Times New Roman" w:hAnsi="Times New Roman"/>
          <w:b/>
          <w:bCs/>
          <w:iCs/>
          <w:color w:val="000000"/>
          <w:sz w:val="24"/>
          <w:szCs w:val="24"/>
        </w:rPr>
        <w:t>c.</w:t>
      </w:r>
      <w:r w:rsidRPr="00840E13">
        <w:rPr>
          <w:rFonts w:ascii="Times New Roman" w:hAnsi="Times New Roman"/>
          <w:color w:val="000000"/>
          <w:sz w:val="24"/>
          <w:szCs w:val="24"/>
        </w:rPr>
        <w:t xml:space="preserve"> </w:t>
      </w:r>
      <w:r w:rsidRPr="00840E13">
        <w:rPr>
          <w:rFonts w:ascii="Times New Roman" w:hAnsi="Times New Roman"/>
          <w:iCs/>
          <w:color w:val="000000"/>
          <w:sz w:val="24"/>
          <w:szCs w:val="24"/>
        </w:rPr>
        <w:t xml:space="preserve">le périmètre demandé empiète sur un périmètre faisant l’objet d’un droit minier ou de carrière ou d’une demande en instance d’instruction, sauf empiétements autorisés à l’article 30 du présent Code. </w:t>
      </w:r>
    </w:p>
    <w:p w14:paraId="36B8BCD6"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68313FF9" w14:textId="77777777" w:rsidR="00C579DE" w:rsidRPr="00840E13" w:rsidRDefault="00C579DE" w:rsidP="00C579DE">
      <w:pPr>
        <w:tabs>
          <w:tab w:val="left" w:pos="8505"/>
        </w:tabs>
        <w:autoSpaceDE w:val="0"/>
        <w:autoSpaceDN w:val="0"/>
        <w:adjustRightInd w:val="0"/>
        <w:spacing w:after="0" w:line="36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Lors de l’instruction cadastrale des demandes des droits miniers et/ou  de carrières, les règles suivantes s’appliquent en cas d’empiètements autres que ceux prévus à l’article 30 du présent Code : </w:t>
      </w:r>
    </w:p>
    <w:p w14:paraId="44701251" w14:textId="77777777" w:rsidR="00C579DE" w:rsidRPr="008D146F" w:rsidRDefault="00C579DE" w:rsidP="000738D3">
      <w:pPr>
        <w:pStyle w:val="Paragraphedeliste"/>
        <w:numPr>
          <w:ilvl w:val="0"/>
          <w:numId w:val="6"/>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Lorsqu’une demande des droits miniers et/ou de carrières de recherches porte sur un périmètre dont plus de 25% empiètent sur un autre périmètre minier ou de carrières en cours de validité, ou est introduite pendant qu’une autre demande est en instruction, cette demande est rejetée.</w:t>
      </w:r>
    </w:p>
    <w:p w14:paraId="1A7B859E" w14:textId="77777777" w:rsidR="00C579DE" w:rsidRPr="00840E13" w:rsidRDefault="00C579DE" w:rsidP="00C579DE">
      <w:pPr>
        <w:tabs>
          <w:tab w:val="left" w:pos="8505"/>
        </w:tabs>
        <w:autoSpaceDE w:val="0"/>
        <w:autoSpaceDN w:val="0"/>
        <w:adjustRightInd w:val="0"/>
        <w:spacing w:after="0" w:line="240" w:lineRule="auto"/>
        <w:ind w:left="1276" w:hanging="224"/>
        <w:jc w:val="both"/>
        <w:rPr>
          <w:rFonts w:ascii="Times New Roman" w:hAnsi="Times New Roman"/>
          <w:iCs/>
          <w:color w:val="000000"/>
          <w:sz w:val="24"/>
          <w:szCs w:val="24"/>
        </w:rPr>
      </w:pPr>
    </w:p>
    <w:p w14:paraId="0FC1D039" w14:textId="77777777" w:rsidR="00C579DE" w:rsidRPr="008D146F" w:rsidRDefault="00C579DE" w:rsidP="000738D3">
      <w:pPr>
        <w:pStyle w:val="Paragraphedeliste"/>
        <w:numPr>
          <w:ilvl w:val="0"/>
          <w:numId w:val="6"/>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lastRenderedPageBreak/>
        <w:t xml:space="preserve">Lorsqu’une demande des droits miniers et/ou de carrières de recherches porte sur un périmètre dont 25% au maximum empiètent sur un autre périmètre minier ou de carrières en cours de validité, ou est introduite pendant qu’une demande est en instruction, la situation est corrigée de façon à éliminer les empiètements. </w:t>
      </w:r>
    </w:p>
    <w:p w14:paraId="195DDBAC" w14:textId="77777777" w:rsidR="00C579DE" w:rsidRPr="00840E13" w:rsidRDefault="00C579DE" w:rsidP="00C579DE">
      <w:pPr>
        <w:tabs>
          <w:tab w:val="left" w:pos="8505"/>
        </w:tabs>
        <w:autoSpaceDE w:val="0"/>
        <w:autoSpaceDN w:val="0"/>
        <w:adjustRightInd w:val="0"/>
        <w:spacing w:after="0" w:line="240" w:lineRule="auto"/>
        <w:ind w:left="993"/>
        <w:jc w:val="both"/>
        <w:rPr>
          <w:rFonts w:ascii="Times New Roman" w:hAnsi="Times New Roman"/>
          <w:sz w:val="24"/>
          <w:szCs w:val="24"/>
        </w:rPr>
      </w:pPr>
    </w:p>
    <w:p w14:paraId="40C11B78"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Dans tous le</w:t>
      </w:r>
      <w:r>
        <w:rPr>
          <w:rFonts w:ascii="Times New Roman" w:hAnsi="Times New Roman"/>
          <w:iCs/>
          <w:color w:val="000000"/>
          <w:sz w:val="24"/>
          <w:szCs w:val="24"/>
        </w:rPr>
        <w:t>s</w:t>
      </w:r>
      <w:r w:rsidRPr="00840E13">
        <w:rPr>
          <w:rFonts w:ascii="Times New Roman" w:hAnsi="Times New Roman"/>
          <w:iCs/>
          <w:color w:val="000000"/>
          <w:sz w:val="24"/>
          <w:szCs w:val="24"/>
        </w:rPr>
        <w:t xml:space="preserve"> cas, les demandes suivantes ne peuvent être rejetées pour cause d’empiétement lors de l’instruction cadastrale : </w:t>
      </w:r>
    </w:p>
    <w:p w14:paraId="4B479718" w14:textId="77777777" w:rsidR="00C579DE" w:rsidRPr="00840E13" w:rsidRDefault="00C579DE" w:rsidP="00C579DE">
      <w:pPr>
        <w:tabs>
          <w:tab w:val="left" w:pos="8505"/>
        </w:tabs>
        <w:autoSpaceDE w:val="0"/>
        <w:autoSpaceDN w:val="0"/>
        <w:adjustRightInd w:val="0"/>
        <w:spacing w:after="0" w:line="240" w:lineRule="auto"/>
        <w:ind w:left="284"/>
        <w:jc w:val="both"/>
        <w:rPr>
          <w:rFonts w:ascii="Times New Roman" w:hAnsi="Times New Roman"/>
          <w:iCs/>
          <w:color w:val="000000"/>
          <w:sz w:val="24"/>
          <w:szCs w:val="24"/>
        </w:rPr>
      </w:pPr>
    </w:p>
    <w:p w14:paraId="147C5F05"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 xml:space="preserve">La demande de droits miniers ou de carrières d’exploitation du titulaire de droit minier ou de carrières de recherches sur le même périmètre ;  </w:t>
      </w:r>
    </w:p>
    <w:p w14:paraId="0255FA7E"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rPr>
        <w:t xml:space="preserve">La demande de transformation des droits miniers ou de carrières de recherches ou d’exploitation en plusieurs droits miniers ou de carrières de recherches ou d’exploitation sur le même périmètre ; </w:t>
      </w:r>
    </w:p>
    <w:p w14:paraId="377765AD" w14:textId="77777777" w:rsidR="00C579DE" w:rsidRPr="008D146F" w:rsidRDefault="00C579DE" w:rsidP="000738D3">
      <w:pPr>
        <w:pStyle w:val="Paragraphedeliste"/>
        <w:numPr>
          <w:ilvl w:val="0"/>
          <w:numId w:val="7"/>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8D146F">
        <w:rPr>
          <w:rFonts w:ascii="Times New Roman" w:hAnsi="Times New Roman"/>
          <w:iCs/>
          <w:color w:val="000000"/>
          <w:sz w:val="24"/>
          <w:szCs w:val="24"/>
        </w:rPr>
        <w:t>La demande du permis d’exploitation des rejets du titulaire du droit minier couvrant le périmètre sur lequel sont entreposés les rejets.</w:t>
      </w:r>
    </w:p>
    <w:p w14:paraId="7A8476A3" w14:textId="77777777" w:rsidR="00C579DE" w:rsidRPr="00840E13" w:rsidRDefault="00C579DE" w:rsidP="00C579DE">
      <w:pPr>
        <w:tabs>
          <w:tab w:val="left" w:pos="8505"/>
        </w:tabs>
        <w:autoSpaceDE w:val="0"/>
        <w:autoSpaceDN w:val="0"/>
        <w:adjustRightInd w:val="0"/>
        <w:spacing w:after="0" w:line="240" w:lineRule="auto"/>
        <w:ind w:left="284"/>
        <w:jc w:val="both"/>
        <w:rPr>
          <w:rFonts w:ascii="Times New Roman" w:hAnsi="Times New Roman"/>
          <w:iCs/>
          <w:color w:val="000000"/>
          <w:sz w:val="24"/>
          <w:szCs w:val="24"/>
        </w:rPr>
      </w:pPr>
    </w:p>
    <w:p w14:paraId="46C8456C" w14:textId="77777777" w:rsidR="00C579DE" w:rsidRPr="00840E13" w:rsidRDefault="00C579DE" w:rsidP="00C579DE">
      <w:pPr>
        <w:pStyle w:val="Paragraphedeliste"/>
        <w:numPr>
          <w:ilvl w:val="0"/>
          <w:numId w:val="1"/>
        </w:numPr>
        <w:tabs>
          <w:tab w:val="left" w:pos="851"/>
          <w:tab w:val="left" w:pos="993"/>
        </w:tabs>
        <w:autoSpaceDE w:val="0"/>
        <w:autoSpaceDN w:val="0"/>
        <w:adjustRightInd w:val="0"/>
        <w:spacing w:after="0" w:line="360" w:lineRule="auto"/>
        <w:ind w:left="284" w:firstLine="426"/>
        <w:contextualSpacing w:val="0"/>
        <w:jc w:val="both"/>
        <w:rPr>
          <w:rFonts w:ascii="Times New Roman" w:hAnsi="Times New Roman" w:cs="Times New Roman"/>
          <w:b/>
          <w:iCs/>
          <w:color w:val="000000"/>
          <w:sz w:val="24"/>
          <w:szCs w:val="24"/>
        </w:rPr>
      </w:pPr>
      <w:r w:rsidRPr="00840E13">
        <w:rPr>
          <w:rFonts w:ascii="Times New Roman" w:hAnsi="Times New Roman" w:cs="Times New Roman"/>
          <w:b/>
          <w:iCs/>
          <w:color w:val="000000"/>
          <w:sz w:val="24"/>
          <w:szCs w:val="24"/>
        </w:rPr>
        <w:t>De l’instruction technique (art.  41)</w:t>
      </w:r>
    </w:p>
    <w:p w14:paraId="0C1C23F8" w14:textId="77777777" w:rsidR="00C579DE" w:rsidRPr="00840E13"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La Direction des Mines détermine si les conditions techniques d’octroi du droit minier ou de carrière sollicité sont satisfaites. Elle transmet son avis technique au Cadastre Minier dans le délai d’instruction prescrit à chaque type de demande prévu dans le présent Code.</w:t>
      </w:r>
    </w:p>
    <w:p w14:paraId="2E9C8B81" w14:textId="77777777" w:rsidR="00C579DE" w:rsidRPr="00840E13" w:rsidRDefault="00C579DE" w:rsidP="00C579DE">
      <w:pPr>
        <w:autoSpaceDE w:val="0"/>
        <w:autoSpaceDN w:val="0"/>
        <w:adjustRightInd w:val="0"/>
        <w:spacing w:after="0" w:line="240" w:lineRule="auto"/>
        <w:jc w:val="both"/>
        <w:rPr>
          <w:rFonts w:ascii="Times New Roman" w:hAnsi="Times New Roman"/>
          <w:sz w:val="24"/>
          <w:szCs w:val="24"/>
        </w:rPr>
      </w:pPr>
      <w:r w:rsidRPr="00840E13">
        <w:rPr>
          <w:rFonts w:ascii="Times New Roman" w:hAnsi="Times New Roman"/>
          <w:color w:val="000000"/>
          <w:sz w:val="24"/>
          <w:szCs w:val="24"/>
        </w:rPr>
        <w:t xml:space="preserve"> </w:t>
      </w:r>
    </w:p>
    <w:p w14:paraId="46A0A65C" w14:textId="77777777" w:rsidR="00C579DE" w:rsidRPr="00840E13"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Dans un délai maximum de cinq jours ouvrables à dater de la réception de l’avis technique, le Cadastre Minier procède à :</w:t>
      </w:r>
    </w:p>
    <w:p w14:paraId="1C1AF0BD"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sz w:val="24"/>
          <w:szCs w:val="24"/>
        </w:rPr>
      </w:pPr>
      <w:r w:rsidRPr="00F821E5">
        <w:rPr>
          <w:rFonts w:ascii="Times New Roman" w:hAnsi="Times New Roman"/>
          <w:color w:val="000000"/>
          <w:sz w:val="24"/>
          <w:szCs w:val="24"/>
        </w:rPr>
        <w:t>l’affichage du résultat de l’avis technique dans la salle de consultation</w:t>
      </w:r>
      <w:r w:rsidRPr="00F821E5">
        <w:rPr>
          <w:rFonts w:ascii="Times New Roman" w:hAnsi="Times New Roman"/>
          <w:sz w:val="24"/>
          <w:szCs w:val="24"/>
        </w:rPr>
        <w:t xml:space="preserve"> </w:t>
      </w:r>
      <w:r w:rsidRPr="00F821E5">
        <w:rPr>
          <w:rFonts w:ascii="Times New Roman" w:hAnsi="Times New Roman"/>
          <w:color w:val="000000"/>
          <w:sz w:val="24"/>
          <w:szCs w:val="24"/>
        </w:rPr>
        <w:t>de ses locaux.  Une copie dudit avis</w:t>
      </w:r>
      <w:r w:rsidRPr="00F821E5">
        <w:rPr>
          <w:rFonts w:ascii="Times New Roman" w:hAnsi="Times New Roman"/>
          <w:sz w:val="24"/>
          <w:szCs w:val="24"/>
        </w:rPr>
        <w:t xml:space="preserve"> </w:t>
      </w:r>
      <w:r w:rsidRPr="00F821E5">
        <w:rPr>
          <w:rFonts w:ascii="Times New Roman" w:hAnsi="Times New Roman"/>
          <w:color w:val="000000"/>
          <w:sz w:val="24"/>
          <w:szCs w:val="24"/>
        </w:rPr>
        <w:t xml:space="preserve">est communiquée au requérant ; </w:t>
      </w:r>
    </w:p>
    <w:p w14:paraId="509249EB" w14:textId="77777777" w:rsidR="00C579DE" w:rsidRPr="00F821E5" w:rsidRDefault="00C579DE" w:rsidP="000738D3">
      <w:pPr>
        <w:pStyle w:val="Paragraphedeliste"/>
        <w:numPr>
          <w:ilvl w:val="0"/>
          <w:numId w:val="9"/>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la transmission du dossier de demande, avec l’avis cadastral et l’avis technique, à l’autorité compétente pour décision.</w:t>
      </w:r>
      <w:r w:rsidRPr="00F821E5">
        <w:rPr>
          <w:rFonts w:ascii="Times New Roman" w:hAnsi="Times New Roman"/>
          <w:iCs/>
          <w:color w:val="000000"/>
          <w:sz w:val="24"/>
          <w:szCs w:val="24"/>
        </w:rPr>
        <w:t xml:space="preserve"> </w:t>
      </w:r>
    </w:p>
    <w:p w14:paraId="172A8C3F"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5653187D" w14:textId="77777777" w:rsidR="00C579DE" w:rsidRPr="00840E13" w:rsidRDefault="00C579DE" w:rsidP="00C579DE">
      <w:pPr>
        <w:pStyle w:val="Paragraphedeliste"/>
        <w:numPr>
          <w:ilvl w:val="0"/>
          <w:numId w:val="1"/>
        </w:numPr>
        <w:tabs>
          <w:tab w:val="left" w:pos="2977"/>
        </w:tabs>
        <w:autoSpaceDE w:val="0"/>
        <w:autoSpaceDN w:val="0"/>
        <w:adjustRightInd w:val="0"/>
        <w:spacing w:after="0" w:line="360" w:lineRule="auto"/>
        <w:ind w:left="993" w:hanging="283"/>
        <w:contextualSpacing w:val="0"/>
        <w:jc w:val="both"/>
        <w:rPr>
          <w:rFonts w:ascii="Times New Roman" w:hAnsi="Times New Roman" w:cs="Times New Roman"/>
          <w:b/>
          <w:iCs/>
          <w:color w:val="000000"/>
          <w:sz w:val="24"/>
          <w:szCs w:val="24"/>
        </w:rPr>
      </w:pPr>
      <w:r w:rsidRPr="00840E13">
        <w:rPr>
          <w:rFonts w:ascii="Times New Roman" w:hAnsi="Times New Roman" w:cs="Times New Roman"/>
          <w:b/>
          <w:iCs/>
          <w:color w:val="000000"/>
          <w:sz w:val="24"/>
          <w:szCs w:val="24"/>
        </w:rPr>
        <w:t>De l’instruction environnementale et sociale (art. 42)</w:t>
      </w:r>
    </w:p>
    <w:p w14:paraId="4CDF57D0" w14:textId="77777777" w:rsidR="00C579DE" w:rsidRPr="00840E13" w:rsidRDefault="00C579DE" w:rsidP="00C579DE">
      <w:pPr>
        <w:shd w:val="clear" w:color="auto" w:fill="FFFFFF"/>
        <w:spacing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 xml:space="preserve">Au cours de cette instruction, </w:t>
      </w:r>
      <w:r w:rsidRPr="00840E13">
        <w:rPr>
          <w:rFonts w:ascii="Times New Roman" w:hAnsi="Times New Roman"/>
          <w:iCs/>
          <w:color w:val="000000"/>
          <w:sz w:val="24"/>
          <w:szCs w:val="24"/>
        </w:rPr>
        <w:t>l’Agence Congolaise de l’Environnement, le Fonds national de</w:t>
      </w:r>
      <w:r w:rsidRPr="00840E13">
        <w:rPr>
          <w:rFonts w:ascii="Times New Roman" w:hAnsi="Times New Roman"/>
          <w:b/>
          <w:bCs/>
          <w:iCs/>
          <w:color w:val="000000"/>
          <w:sz w:val="24"/>
          <w:szCs w:val="24"/>
        </w:rPr>
        <w:t xml:space="preserve"> </w:t>
      </w:r>
      <w:r w:rsidRPr="00840E13">
        <w:rPr>
          <w:rFonts w:ascii="Times New Roman" w:hAnsi="Times New Roman"/>
          <w:iCs/>
          <w:color w:val="000000"/>
          <w:sz w:val="24"/>
          <w:szCs w:val="24"/>
        </w:rPr>
        <w:t xml:space="preserve">promotion et de service social, en collaboration avec la Direction chargée de la protection de l’environnement minier et, le cas échéant, tout autre organisme de l’Etat concerné, instruisent : </w:t>
      </w:r>
    </w:p>
    <w:p w14:paraId="2F38AFB0"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l’EIES et le PGES relatifs à la demande de droit minier d’exploitation ou de l’autorisation d’exploitation de carrière permanente ; </w:t>
      </w:r>
    </w:p>
    <w:p w14:paraId="2CB8C6B5"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 PAR relatif à une demande d’autorisation d’exploitation de carrière temporaire ; </w:t>
      </w:r>
    </w:p>
    <w:p w14:paraId="47ABEA71" w14:textId="77777777" w:rsidR="00C579DE" w:rsidRPr="00F821E5"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 xml:space="preserve">le dossier de la demande de transfert du droit minier ou de l’autorisation d’exploitation de carrières permanente ; </w:t>
      </w:r>
    </w:p>
    <w:p w14:paraId="294DBEFA" w14:textId="77777777" w:rsidR="00C579DE" w:rsidRDefault="00C579DE" w:rsidP="000738D3">
      <w:pPr>
        <w:pStyle w:val="Paragraphedeliste"/>
        <w:numPr>
          <w:ilvl w:val="0"/>
          <w:numId w:val="8"/>
        </w:numPr>
        <w:autoSpaceDE w:val="0"/>
        <w:autoSpaceDN w:val="0"/>
        <w:adjustRightInd w:val="0"/>
        <w:spacing w:after="0" w:line="240" w:lineRule="auto"/>
        <w:jc w:val="both"/>
        <w:rPr>
          <w:rFonts w:ascii="Times New Roman" w:hAnsi="Times New Roman"/>
          <w:color w:val="000000"/>
          <w:sz w:val="24"/>
          <w:szCs w:val="24"/>
        </w:rPr>
      </w:pPr>
      <w:r w:rsidRPr="00F821E5">
        <w:rPr>
          <w:rFonts w:ascii="Times New Roman" w:hAnsi="Times New Roman"/>
          <w:color w:val="000000"/>
          <w:sz w:val="24"/>
          <w:szCs w:val="24"/>
        </w:rPr>
        <w:t>ainsi que le plan pour la contribution du projet au développement des communautés environnantes.</w:t>
      </w:r>
    </w:p>
    <w:p w14:paraId="26A45311" w14:textId="77777777" w:rsidR="00C579DE" w:rsidRPr="00F821E5" w:rsidRDefault="00C579DE" w:rsidP="00C579DE">
      <w:pPr>
        <w:pStyle w:val="Paragraphedeliste"/>
        <w:autoSpaceDE w:val="0"/>
        <w:autoSpaceDN w:val="0"/>
        <w:adjustRightInd w:val="0"/>
        <w:spacing w:after="0" w:line="240" w:lineRule="auto"/>
        <w:ind w:left="735"/>
        <w:jc w:val="both"/>
        <w:rPr>
          <w:rFonts w:ascii="Times New Roman" w:hAnsi="Times New Roman"/>
          <w:color w:val="000000"/>
          <w:sz w:val="24"/>
          <w:szCs w:val="24"/>
        </w:rPr>
      </w:pPr>
    </w:p>
    <w:p w14:paraId="0913694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L’Agence Congolaise de l’Environnement transmet, à la conclusion de l’instruction environnementale réalisée, son certificat environnemental, le cas échéant, au Cadastre minier dans le délai prescrit pour chaque type des droits miniers et/ou de carrières. Une copie du certificat environnemental est communiquée au requérant. </w:t>
      </w:r>
    </w:p>
    <w:p w14:paraId="48BA81D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color w:val="000000"/>
          <w:sz w:val="24"/>
          <w:szCs w:val="24"/>
        </w:rPr>
      </w:pPr>
    </w:p>
    <w:p w14:paraId="3612EB2B"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Dans un délai maximum de cinq jours ouvrables à compter de la réception du certificat environnemental, le Cadastre minier procède à : </w:t>
      </w:r>
    </w:p>
    <w:p w14:paraId="0ED4ABF6"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p>
    <w:p w14:paraId="0FD5BFF5" w14:textId="77777777" w:rsidR="00C579DE" w:rsidRPr="00F821E5" w:rsidRDefault="00C579DE" w:rsidP="000738D3">
      <w:pPr>
        <w:pStyle w:val="Paragraphedeliste"/>
        <w:numPr>
          <w:ilvl w:val="0"/>
          <w:numId w:val="10"/>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F821E5">
        <w:rPr>
          <w:rFonts w:ascii="Times New Roman" w:hAnsi="Times New Roman"/>
          <w:iCs/>
          <w:color w:val="000000"/>
          <w:sz w:val="24"/>
          <w:szCs w:val="24"/>
        </w:rPr>
        <w:lastRenderedPageBreak/>
        <w:t xml:space="preserve">L’affichage du certificat environnemental de l’Agence Congolaise de l’Environnement dans la salle déterminée par le Règlement minier. Une copie du certificat environnemental est communiquée au requérant ; </w:t>
      </w:r>
    </w:p>
    <w:p w14:paraId="1631C757" w14:textId="77777777" w:rsidR="00C579DE" w:rsidRPr="00840E13" w:rsidRDefault="00C579DE" w:rsidP="00C579DE">
      <w:pPr>
        <w:tabs>
          <w:tab w:val="left" w:pos="8505"/>
        </w:tabs>
        <w:autoSpaceDE w:val="0"/>
        <w:autoSpaceDN w:val="0"/>
        <w:adjustRightInd w:val="0"/>
        <w:spacing w:after="0" w:line="240" w:lineRule="auto"/>
        <w:ind w:left="1418" w:hanging="284"/>
        <w:jc w:val="both"/>
        <w:rPr>
          <w:rFonts w:ascii="Times New Roman" w:hAnsi="Times New Roman"/>
          <w:b/>
          <w:bCs/>
          <w:iCs/>
          <w:color w:val="000000"/>
          <w:sz w:val="24"/>
          <w:szCs w:val="24"/>
        </w:rPr>
      </w:pPr>
    </w:p>
    <w:p w14:paraId="0EB903F7" w14:textId="77777777" w:rsidR="00C579DE" w:rsidRPr="00F821E5" w:rsidRDefault="00C579DE" w:rsidP="000738D3">
      <w:pPr>
        <w:pStyle w:val="Paragraphedeliste"/>
        <w:numPr>
          <w:ilvl w:val="0"/>
          <w:numId w:val="10"/>
        </w:numPr>
        <w:tabs>
          <w:tab w:val="left" w:pos="8505"/>
        </w:tabs>
        <w:autoSpaceDE w:val="0"/>
        <w:autoSpaceDN w:val="0"/>
        <w:adjustRightInd w:val="0"/>
        <w:spacing w:after="0" w:line="240" w:lineRule="auto"/>
        <w:jc w:val="both"/>
        <w:rPr>
          <w:rFonts w:ascii="Times New Roman" w:hAnsi="Times New Roman"/>
          <w:iCs/>
          <w:color w:val="000000"/>
          <w:sz w:val="24"/>
          <w:szCs w:val="24"/>
        </w:rPr>
      </w:pPr>
      <w:r w:rsidRPr="00F821E5">
        <w:rPr>
          <w:rFonts w:ascii="Times New Roman" w:hAnsi="Times New Roman"/>
          <w:iCs/>
          <w:color w:val="000000"/>
          <w:sz w:val="24"/>
          <w:szCs w:val="24"/>
        </w:rPr>
        <w:t xml:space="preserve">La transmission du dossier de demande, avec l’avis cadastral, l’avis technique et le certificat environnemental, le cas échéant, à l’autorité compétente pour décision. </w:t>
      </w:r>
    </w:p>
    <w:p w14:paraId="6AD9C669" w14:textId="77777777" w:rsidR="00C579DE" w:rsidRPr="00840E13" w:rsidRDefault="00C579DE" w:rsidP="00C579DE">
      <w:pPr>
        <w:tabs>
          <w:tab w:val="left" w:pos="8505"/>
        </w:tabs>
        <w:autoSpaceDE w:val="0"/>
        <w:autoSpaceDN w:val="0"/>
        <w:adjustRightInd w:val="0"/>
        <w:spacing w:after="0" w:line="240" w:lineRule="auto"/>
        <w:ind w:left="1418"/>
        <w:jc w:val="both"/>
        <w:rPr>
          <w:rFonts w:ascii="Times New Roman" w:hAnsi="Times New Roman"/>
          <w:iCs/>
          <w:color w:val="000000"/>
          <w:sz w:val="24"/>
          <w:szCs w:val="24"/>
        </w:rPr>
      </w:pPr>
    </w:p>
    <w:p w14:paraId="3F9DA66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L’Article 43 al. 1</w:t>
      </w:r>
      <w:r w:rsidRPr="00840E13">
        <w:rPr>
          <w:rFonts w:ascii="Times New Roman" w:hAnsi="Times New Roman"/>
          <w:bCs/>
          <w:iCs/>
          <w:color w:val="000000"/>
          <w:sz w:val="24"/>
          <w:szCs w:val="24"/>
          <w:vertAlign w:val="superscript"/>
        </w:rPr>
        <w:t>er</w:t>
      </w:r>
      <w:r w:rsidRPr="00840E13">
        <w:rPr>
          <w:rFonts w:ascii="Times New Roman" w:hAnsi="Times New Roman"/>
          <w:bCs/>
          <w:iCs/>
          <w:color w:val="000000"/>
          <w:sz w:val="24"/>
          <w:szCs w:val="24"/>
        </w:rPr>
        <w:t xml:space="preserve"> et 4 prévoit qu’à</w:t>
      </w:r>
      <w:r w:rsidRPr="00840E13">
        <w:rPr>
          <w:rFonts w:ascii="Times New Roman" w:hAnsi="Times New Roman"/>
          <w:iCs/>
          <w:color w:val="000000"/>
          <w:sz w:val="24"/>
          <w:szCs w:val="24"/>
        </w:rPr>
        <w:t xml:space="preserve"> la réception du dossier de demande avec avis cadastral et, le cas échéant, technique,</w:t>
      </w:r>
      <w:r w:rsidRPr="00840E13">
        <w:rPr>
          <w:rFonts w:ascii="Times New Roman" w:hAnsi="Times New Roman"/>
          <w:sz w:val="24"/>
          <w:szCs w:val="24"/>
        </w:rPr>
        <w:t xml:space="preserve"> </w:t>
      </w:r>
      <w:r w:rsidRPr="00840E13">
        <w:rPr>
          <w:rFonts w:ascii="Times New Roman" w:hAnsi="Times New Roman"/>
          <w:iCs/>
          <w:color w:val="000000"/>
          <w:sz w:val="24"/>
          <w:szCs w:val="24"/>
        </w:rPr>
        <w:t xml:space="preserve">environnemental et social favorables, l’autorité compétente prend et transmet sa décision d’octroi au Cadastre minier dans le délai de décision prescrit pour chaque type de demande de droit minier ou de carrières. </w:t>
      </w:r>
    </w:p>
    <w:p w14:paraId="1E049103"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303BD54A" w14:textId="77777777" w:rsidR="00C579DE" w:rsidRDefault="00C579DE" w:rsidP="00C579DE">
      <w:pPr>
        <w:autoSpaceDE w:val="0"/>
        <w:autoSpaceDN w:val="0"/>
        <w:adjustRightInd w:val="0"/>
        <w:spacing w:after="0" w:line="240" w:lineRule="auto"/>
        <w:jc w:val="both"/>
        <w:rPr>
          <w:rFonts w:ascii="Times New Roman" w:hAnsi="Times New Roman"/>
          <w:color w:val="000000"/>
          <w:sz w:val="24"/>
          <w:szCs w:val="24"/>
        </w:rPr>
      </w:pPr>
      <w:r w:rsidRPr="00840E13">
        <w:rPr>
          <w:rFonts w:ascii="Times New Roman" w:hAnsi="Times New Roman"/>
          <w:color w:val="000000"/>
          <w:sz w:val="24"/>
          <w:szCs w:val="24"/>
        </w:rPr>
        <w:t>Dans ce cas</w:t>
      </w:r>
      <w:r>
        <w:rPr>
          <w:rFonts w:ascii="Times New Roman" w:hAnsi="Times New Roman"/>
          <w:color w:val="000000"/>
          <w:sz w:val="24"/>
          <w:szCs w:val="24"/>
        </w:rPr>
        <w:t xml:space="preserve"> (où </w:t>
      </w:r>
      <w:r w:rsidRPr="00840E13">
        <w:rPr>
          <w:rFonts w:ascii="Times New Roman" w:hAnsi="Times New Roman"/>
          <w:color w:val="000000"/>
          <w:sz w:val="24"/>
          <w:szCs w:val="24"/>
        </w:rPr>
        <w:t>l’autorité compétente transmet sa décision</w:t>
      </w:r>
      <w:r>
        <w:rPr>
          <w:rFonts w:ascii="Times New Roman" w:hAnsi="Times New Roman"/>
          <w:color w:val="000000"/>
          <w:sz w:val="24"/>
          <w:szCs w:val="24"/>
        </w:rPr>
        <w:t xml:space="preserve"> d’octroi dans le délai),</w:t>
      </w:r>
      <w:r w:rsidRPr="00840E13">
        <w:rPr>
          <w:rFonts w:ascii="Times New Roman" w:hAnsi="Times New Roman"/>
          <w:color w:val="000000"/>
          <w:sz w:val="24"/>
          <w:szCs w:val="24"/>
        </w:rPr>
        <w:t xml:space="preserve"> le Cadastre Minier procède à l’inscription du droit accordé, à</w:t>
      </w:r>
      <w:r w:rsidRPr="00840E13">
        <w:rPr>
          <w:rFonts w:ascii="Times New Roman" w:hAnsi="Times New Roman"/>
          <w:sz w:val="24"/>
          <w:szCs w:val="24"/>
        </w:rPr>
        <w:t xml:space="preserve"> </w:t>
      </w:r>
      <w:r w:rsidRPr="00840E13">
        <w:rPr>
          <w:rFonts w:ascii="Times New Roman" w:hAnsi="Times New Roman"/>
          <w:color w:val="000000"/>
          <w:sz w:val="24"/>
          <w:szCs w:val="24"/>
        </w:rPr>
        <w:t>la notification du</w:t>
      </w:r>
      <w:r w:rsidRPr="00840E13">
        <w:rPr>
          <w:rFonts w:ascii="Times New Roman" w:hAnsi="Times New Roman"/>
          <w:sz w:val="24"/>
          <w:szCs w:val="24"/>
        </w:rPr>
        <w:t xml:space="preserve"> </w:t>
      </w:r>
      <w:r w:rsidRPr="00840E13">
        <w:rPr>
          <w:rFonts w:ascii="Times New Roman" w:hAnsi="Times New Roman"/>
          <w:color w:val="000000"/>
          <w:sz w:val="24"/>
          <w:szCs w:val="24"/>
        </w:rPr>
        <w:t>requérant et à son affichage dans la salle</w:t>
      </w:r>
      <w:r w:rsidRPr="00840E13">
        <w:rPr>
          <w:rFonts w:ascii="Times New Roman" w:hAnsi="Times New Roman"/>
          <w:sz w:val="24"/>
          <w:szCs w:val="24"/>
        </w:rPr>
        <w:t xml:space="preserve"> </w:t>
      </w:r>
      <w:r w:rsidRPr="00840E13">
        <w:rPr>
          <w:rFonts w:ascii="Times New Roman" w:hAnsi="Times New Roman"/>
          <w:color w:val="000000"/>
          <w:sz w:val="24"/>
          <w:szCs w:val="24"/>
        </w:rPr>
        <w:t>déterminée par le Règlement Minier.</w:t>
      </w:r>
      <w:r>
        <w:rPr>
          <w:rFonts w:ascii="Times New Roman" w:hAnsi="Times New Roman"/>
          <w:color w:val="000000"/>
          <w:sz w:val="24"/>
          <w:szCs w:val="24"/>
        </w:rPr>
        <w:t xml:space="preserve"> Et le </w:t>
      </w:r>
      <w:r w:rsidRPr="00840E13">
        <w:rPr>
          <w:rFonts w:ascii="Times New Roman" w:hAnsi="Times New Roman"/>
          <w:color w:val="000000"/>
          <w:sz w:val="24"/>
          <w:szCs w:val="24"/>
        </w:rPr>
        <w:t>requérant</w:t>
      </w:r>
      <w:r>
        <w:rPr>
          <w:rFonts w:ascii="Times New Roman" w:hAnsi="Times New Roman"/>
          <w:color w:val="000000"/>
          <w:sz w:val="24"/>
          <w:szCs w:val="24"/>
        </w:rPr>
        <w:t xml:space="preserve"> entre en jouissance de son droit.</w:t>
      </w:r>
    </w:p>
    <w:p w14:paraId="02725061" w14:textId="77777777" w:rsidR="00C579DE" w:rsidRPr="00840E13" w:rsidRDefault="00C579DE" w:rsidP="00C579DE">
      <w:pPr>
        <w:autoSpaceDE w:val="0"/>
        <w:autoSpaceDN w:val="0"/>
        <w:adjustRightInd w:val="0"/>
        <w:spacing w:after="0" w:line="240" w:lineRule="auto"/>
        <w:ind w:left="1418"/>
        <w:jc w:val="both"/>
        <w:rPr>
          <w:rFonts w:ascii="Times New Roman" w:hAnsi="Times New Roman"/>
          <w:sz w:val="24"/>
          <w:szCs w:val="24"/>
        </w:rPr>
      </w:pPr>
    </w:p>
    <w:p w14:paraId="76823A34"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Dans le</w:t>
      </w:r>
      <w:r w:rsidRPr="00840E13">
        <w:rPr>
          <w:rFonts w:ascii="Times New Roman" w:hAnsi="Times New Roman"/>
          <w:color w:val="000000"/>
          <w:sz w:val="24"/>
          <w:szCs w:val="24"/>
        </w:rPr>
        <w:t xml:space="preserve"> cas où l’autorité compétente ne transmet pas sa décision</w:t>
      </w:r>
      <w:r>
        <w:rPr>
          <w:rFonts w:ascii="Times New Roman" w:hAnsi="Times New Roman"/>
          <w:color w:val="000000"/>
          <w:sz w:val="24"/>
          <w:szCs w:val="24"/>
        </w:rPr>
        <w:t xml:space="preserve"> dans le délai,</w:t>
      </w:r>
      <w:r w:rsidRPr="00840E13">
        <w:rPr>
          <w:rFonts w:ascii="Times New Roman" w:hAnsi="Times New Roman"/>
          <w:color w:val="000000"/>
          <w:sz w:val="24"/>
          <w:szCs w:val="24"/>
        </w:rPr>
        <w:t xml:space="preserve"> conformément à l’alinéa 1er ci-dessus, la décision d’octroi du droit minier ou de carrières est réputée accordée.</w:t>
      </w:r>
      <w:r>
        <w:rPr>
          <w:rFonts w:ascii="Times New Roman" w:hAnsi="Times New Roman"/>
          <w:color w:val="000000"/>
          <w:sz w:val="24"/>
          <w:szCs w:val="24"/>
        </w:rPr>
        <w:t xml:space="preserve"> Mais, pour entrer en jouissance d’un droit réputé octroyé,</w:t>
      </w:r>
      <w:r>
        <w:rPr>
          <w:rFonts w:ascii="Times New Roman" w:hAnsi="Times New Roman"/>
          <w:iCs/>
          <w:color w:val="000000"/>
          <w:sz w:val="24"/>
          <w:szCs w:val="24"/>
        </w:rPr>
        <w:t xml:space="preserve"> le</w:t>
      </w:r>
      <w:r w:rsidR="000B5866">
        <w:rPr>
          <w:rFonts w:ascii="Times New Roman" w:hAnsi="Times New Roman"/>
          <w:iCs/>
          <w:color w:val="000000"/>
          <w:sz w:val="24"/>
          <w:szCs w:val="24"/>
        </w:rPr>
        <w:t xml:space="preserve"> </w:t>
      </w:r>
      <w:r w:rsidRPr="00840E13">
        <w:rPr>
          <w:rFonts w:ascii="Times New Roman" w:hAnsi="Times New Roman"/>
          <w:iCs/>
          <w:color w:val="000000"/>
          <w:sz w:val="24"/>
          <w:szCs w:val="24"/>
        </w:rPr>
        <w:t>requérant demande au Cadastre minier, dans les soixante jours de l’expiration du délai imparti à</w:t>
      </w:r>
      <w:r w:rsidRPr="00840E13">
        <w:rPr>
          <w:rFonts w:ascii="Times New Roman" w:hAnsi="Times New Roman"/>
          <w:sz w:val="24"/>
          <w:szCs w:val="24"/>
        </w:rPr>
        <w:t xml:space="preserve"> </w:t>
      </w:r>
      <w:r w:rsidRPr="00840E13">
        <w:rPr>
          <w:rFonts w:ascii="Times New Roman" w:hAnsi="Times New Roman"/>
          <w:iCs/>
          <w:color w:val="000000"/>
          <w:sz w:val="24"/>
          <w:szCs w:val="24"/>
        </w:rPr>
        <w:t>l’autorité compétente, de procéder à l’inscription de son droit et à la délivrance du titre y afférent. Passé</w:t>
      </w:r>
      <w:r w:rsidRPr="00840E13">
        <w:rPr>
          <w:rFonts w:ascii="Times New Roman" w:hAnsi="Times New Roman"/>
          <w:sz w:val="24"/>
          <w:szCs w:val="24"/>
        </w:rPr>
        <w:t xml:space="preserve"> </w:t>
      </w:r>
      <w:r w:rsidRPr="00840E13">
        <w:rPr>
          <w:rFonts w:ascii="Times New Roman" w:hAnsi="Times New Roman"/>
          <w:iCs/>
          <w:color w:val="000000"/>
          <w:sz w:val="24"/>
          <w:szCs w:val="24"/>
        </w:rPr>
        <w:t>ce délai</w:t>
      </w:r>
      <w:r>
        <w:rPr>
          <w:rFonts w:ascii="Times New Roman" w:hAnsi="Times New Roman"/>
          <w:iCs/>
          <w:color w:val="000000"/>
          <w:sz w:val="24"/>
          <w:szCs w:val="24"/>
        </w:rPr>
        <w:t xml:space="preserve"> de soixante jours</w:t>
      </w:r>
      <w:r w:rsidRPr="00840E13">
        <w:rPr>
          <w:rFonts w:ascii="Times New Roman" w:hAnsi="Times New Roman"/>
          <w:iCs/>
          <w:color w:val="000000"/>
          <w:sz w:val="24"/>
          <w:szCs w:val="24"/>
        </w:rPr>
        <w:t xml:space="preserve">, le droit est d’office renoncé. </w:t>
      </w:r>
    </w:p>
    <w:p w14:paraId="7CFFDA18" w14:textId="77777777" w:rsidR="00C579DE" w:rsidRPr="00840E13" w:rsidRDefault="00C579DE" w:rsidP="00C579DE">
      <w:pPr>
        <w:tabs>
          <w:tab w:val="left" w:pos="8505"/>
        </w:tabs>
        <w:autoSpaceDE w:val="0"/>
        <w:autoSpaceDN w:val="0"/>
        <w:adjustRightInd w:val="0"/>
        <w:spacing w:after="0" w:line="240" w:lineRule="auto"/>
        <w:ind w:left="1418"/>
        <w:jc w:val="both"/>
        <w:rPr>
          <w:rFonts w:ascii="Times New Roman" w:hAnsi="Times New Roman"/>
          <w:iCs/>
          <w:color w:val="000000"/>
          <w:sz w:val="24"/>
          <w:szCs w:val="24"/>
        </w:rPr>
      </w:pPr>
    </w:p>
    <w:p w14:paraId="7E5ECF90"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bCs/>
          <w:iCs/>
          <w:color w:val="000000"/>
          <w:sz w:val="24"/>
          <w:szCs w:val="24"/>
        </w:rPr>
        <w:t>A ce propos, l’article 47</w:t>
      </w:r>
      <w:r w:rsidRPr="00840E13">
        <w:rPr>
          <w:rFonts w:ascii="Times New Roman" w:hAnsi="Times New Roman"/>
          <w:iCs/>
          <w:color w:val="000000"/>
          <w:sz w:val="24"/>
          <w:szCs w:val="24"/>
        </w:rPr>
        <w:t xml:space="preserve"> stipule qu’en cas de décision d’octroi ou en cas de décision d’inscription par voie judiciaire prévue à l’article 46 du Code, le Cadastre minier délivre au requérant les titres miniers et/ou de carrières constatant les droits miniers ou des carrières octroyés, moyennant paiement des droits superficiaires annuels par carrés y afférents. </w:t>
      </w:r>
    </w:p>
    <w:p w14:paraId="164DC977" w14:textId="77777777" w:rsidR="00C579DE" w:rsidRPr="00840E13"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p>
    <w:p w14:paraId="4136A156" w14:textId="77777777" w:rsidR="00C579DE" w:rsidRDefault="00C579DE" w:rsidP="00C579DE">
      <w:pPr>
        <w:tabs>
          <w:tab w:val="left" w:pos="8505"/>
        </w:tabs>
        <w:autoSpaceDE w:val="0"/>
        <w:autoSpaceDN w:val="0"/>
        <w:adjustRightInd w:val="0"/>
        <w:spacing w:after="0" w:line="240" w:lineRule="auto"/>
        <w:jc w:val="both"/>
        <w:rPr>
          <w:rFonts w:ascii="Times New Roman" w:hAnsi="Times New Roman"/>
          <w:iCs/>
          <w:color w:val="000000"/>
          <w:sz w:val="24"/>
          <w:szCs w:val="24"/>
        </w:rPr>
      </w:pPr>
      <w:r w:rsidRPr="00840E13">
        <w:rPr>
          <w:rFonts w:ascii="Times New Roman" w:hAnsi="Times New Roman"/>
          <w:iCs/>
          <w:color w:val="000000"/>
          <w:sz w:val="24"/>
          <w:szCs w:val="24"/>
        </w:rPr>
        <w:t xml:space="preserve">Sans préjudice des dispositions de l’article 198 du Code, ces droits sont payés, pour la première année, au plus tard trente jours ouvrables à compter de la notification de l’octroi du droit sollicité et des notes de débit y afférentes. Passé ce délai, le droit accordé devient d’office caduc.  </w:t>
      </w:r>
    </w:p>
    <w:p w14:paraId="67D8488A" w14:textId="77777777" w:rsidR="000B5866" w:rsidRDefault="000B5866">
      <w:pPr>
        <w:rPr>
          <w:rFonts w:ascii="Times New Roman" w:hAnsi="Times New Roman"/>
          <w:iCs/>
          <w:color w:val="000000"/>
          <w:sz w:val="24"/>
          <w:szCs w:val="24"/>
        </w:rPr>
      </w:pPr>
      <w:r>
        <w:rPr>
          <w:rFonts w:ascii="Times New Roman" w:hAnsi="Times New Roman"/>
          <w:iCs/>
          <w:color w:val="000000"/>
          <w:sz w:val="24"/>
          <w:szCs w:val="24"/>
        </w:rPr>
        <w:br w:type="page"/>
      </w:r>
    </w:p>
    <w:p w14:paraId="6F63D057" w14:textId="77777777" w:rsidR="00C579DE" w:rsidRPr="00A12860" w:rsidRDefault="00C579DE" w:rsidP="00A12860">
      <w:pPr>
        <w:pStyle w:val="Paragraphedeliste"/>
        <w:numPr>
          <w:ilvl w:val="0"/>
          <w:numId w:val="65"/>
        </w:numPr>
        <w:rPr>
          <w:rFonts w:ascii="Times New Roman" w:hAnsi="Times New Roman"/>
          <w:b/>
          <w:i/>
          <w:sz w:val="24"/>
          <w:szCs w:val="24"/>
        </w:rPr>
      </w:pPr>
      <w:r w:rsidRPr="00A12860">
        <w:rPr>
          <w:rFonts w:ascii="Times New Roman" w:hAnsi="Times New Roman"/>
          <w:b/>
          <w:i/>
          <w:sz w:val="24"/>
          <w:szCs w:val="24"/>
        </w:rPr>
        <w:lastRenderedPageBreak/>
        <w:t xml:space="preserve">Procédure de renonciation au permis </w:t>
      </w:r>
    </w:p>
    <w:p w14:paraId="633C7D42"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bCs/>
          <w:color w:val="000000"/>
          <w:sz w:val="24"/>
          <w:szCs w:val="24"/>
        </w:rPr>
      </w:pPr>
      <w:r w:rsidRPr="00584826">
        <w:rPr>
          <w:rFonts w:ascii="Times New Roman" w:hAnsi="Times New Roman"/>
          <w:bCs/>
          <w:iCs/>
          <w:color w:val="000000"/>
          <w:sz w:val="24"/>
          <w:szCs w:val="24"/>
        </w:rPr>
        <w:t>La procédure de renonciation au Permis est la même, mutatis mutandis, pour le PR (art. 60 du Code), le PE (art. 79 du Code) et le PER (art. 96 du Code)</w:t>
      </w:r>
    </w:p>
    <w:p w14:paraId="229E3D4C" w14:textId="77777777" w:rsidR="00C579DE" w:rsidRPr="00584826" w:rsidRDefault="00C579DE" w:rsidP="00C579DE">
      <w:pPr>
        <w:autoSpaceDE w:val="0"/>
        <w:autoSpaceDN w:val="0"/>
        <w:adjustRightInd w:val="0"/>
        <w:spacing w:after="0" w:line="240" w:lineRule="auto"/>
        <w:jc w:val="both"/>
        <w:rPr>
          <w:rFonts w:ascii="Times New Roman" w:hAnsi="Times New Roman"/>
          <w:sz w:val="24"/>
          <w:szCs w:val="24"/>
        </w:rPr>
      </w:pPr>
    </w:p>
    <w:p w14:paraId="2BA24ACD"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Le titulaire d’un Permis peut renoncer à tout moment</w:t>
      </w:r>
      <w:r w:rsidRPr="00584826">
        <w:rPr>
          <w:rFonts w:ascii="Times New Roman" w:hAnsi="Times New Roman"/>
          <w:sz w:val="24"/>
          <w:szCs w:val="24"/>
        </w:rPr>
        <w:t xml:space="preserve"> </w:t>
      </w:r>
      <w:r w:rsidRPr="00584826">
        <w:rPr>
          <w:rFonts w:ascii="Times New Roman" w:hAnsi="Times New Roman"/>
          <w:color w:val="000000"/>
          <w:sz w:val="24"/>
          <w:szCs w:val="24"/>
        </w:rPr>
        <w:t>en tout ou en partie au droit couvrant son</w:t>
      </w:r>
      <w:r w:rsidRPr="00584826">
        <w:rPr>
          <w:rFonts w:ascii="Times New Roman" w:hAnsi="Times New Roman"/>
          <w:sz w:val="24"/>
          <w:szCs w:val="24"/>
        </w:rPr>
        <w:t xml:space="preserve"> </w:t>
      </w:r>
      <w:r w:rsidRPr="00584826">
        <w:rPr>
          <w:rFonts w:ascii="Times New Roman" w:hAnsi="Times New Roman"/>
          <w:color w:val="000000"/>
          <w:sz w:val="24"/>
          <w:szCs w:val="24"/>
        </w:rPr>
        <w:t>Périmètre.  La déclaration de la renonciation partielle ou totale adressée au Ministre précise les coordonnées du tout ou de la partie du Périmètre renoncée et celle retenue. Elle prend effet au jour du donner acte du Ministre ou dans tous les cas, dans les trois mois à dater du dépôt de la déclaration.</w:t>
      </w:r>
      <w:r w:rsidRPr="00584826">
        <w:rPr>
          <w:rFonts w:ascii="Times New Roman" w:hAnsi="Times New Roman"/>
          <w:sz w:val="24"/>
          <w:szCs w:val="24"/>
        </w:rPr>
        <w:t xml:space="preserve"> </w:t>
      </w:r>
      <w:r w:rsidRPr="00584826">
        <w:rPr>
          <w:rFonts w:ascii="Times New Roman" w:hAnsi="Times New Roman"/>
          <w:color w:val="000000"/>
          <w:sz w:val="24"/>
          <w:szCs w:val="24"/>
        </w:rPr>
        <w:t xml:space="preserve">La partie du Périmètre faisant l’objet de renonciation doit être composée de carrés entiers. Tandis que, la partie du Périmètre restant doit </w:t>
      </w:r>
      <w:r w:rsidRPr="00584826">
        <w:rPr>
          <w:rFonts w:ascii="Times New Roman" w:hAnsi="Times New Roman"/>
          <w:sz w:val="24"/>
          <w:szCs w:val="24"/>
        </w:rPr>
        <w:t xml:space="preserve"> </w:t>
      </w:r>
      <w:r w:rsidRPr="00584826">
        <w:rPr>
          <w:rFonts w:ascii="Times New Roman" w:hAnsi="Times New Roman"/>
          <w:color w:val="000000"/>
          <w:sz w:val="24"/>
          <w:szCs w:val="24"/>
        </w:rPr>
        <w:t xml:space="preserve">respecter la forme d’un Périmètre minier </w:t>
      </w:r>
      <w:r w:rsidRPr="00584826">
        <w:rPr>
          <w:rFonts w:ascii="Times New Roman" w:hAnsi="Times New Roman"/>
          <w:sz w:val="24"/>
          <w:szCs w:val="24"/>
        </w:rPr>
        <w:t xml:space="preserve"> </w:t>
      </w:r>
      <w:r w:rsidRPr="00584826">
        <w:rPr>
          <w:rFonts w:ascii="Times New Roman" w:hAnsi="Times New Roman"/>
          <w:color w:val="000000"/>
          <w:sz w:val="24"/>
          <w:szCs w:val="24"/>
        </w:rPr>
        <w:t>prévue à l’article 28 du Code.</w:t>
      </w:r>
    </w:p>
    <w:p w14:paraId="0C1C6B2D"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39484283"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 xml:space="preserve">Le Périmètre couvert par le Permis </w:t>
      </w:r>
      <w:r w:rsidRPr="00584826">
        <w:rPr>
          <w:rFonts w:ascii="Times New Roman" w:hAnsi="Times New Roman"/>
          <w:sz w:val="24"/>
          <w:szCs w:val="24"/>
        </w:rPr>
        <w:t xml:space="preserve"> </w:t>
      </w:r>
      <w:r w:rsidRPr="00584826">
        <w:rPr>
          <w:rFonts w:ascii="Times New Roman" w:hAnsi="Times New Roman"/>
          <w:color w:val="000000"/>
          <w:sz w:val="24"/>
          <w:szCs w:val="24"/>
        </w:rPr>
        <w:t>est libre en tout ou en partie</w:t>
      </w:r>
      <w:r w:rsidRPr="00584826">
        <w:rPr>
          <w:rFonts w:ascii="Times New Roman" w:hAnsi="Times New Roman"/>
          <w:sz w:val="24"/>
          <w:szCs w:val="24"/>
        </w:rPr>
        <w:t xml:space="preserve"> </w:t>
      </w:r>
      <w:r w:rsidRPr="00584826">
        <w:rPr>
          <w:rFonts w:ascii="Times New Roman" w:hAnsi="Times New Roman"/>
          <w:color w:val="000000"/>
          <w:sz w:val="24"/>
          <w:szCs w:val="24"/>
        </w:rPr>
        <w:t>selon le cas, de tout droit à compter du</w:t>
      </w:r>
      <w:r w:rsidRPr="00584826">
        <w:rPr>
          <w:rFonts w:ascii="Times New Roman" w:hAnsi="Times New Roman"/>
          <w:sz w:val="24"/>
          <w:szCs w:val="24"/>
        </w:rPr>
        <w:t xml:space="preserve"> </w:t>
      </w:r>
      <w:r w:rsidRPr="00584826">
        <w:rPr>
          <w:rFonts w:ascii="Times New Roman" w:hAnsi="Times New Roman"/>
          <w:color w:val="000000"/>
          <w:sz w:val="24"/>
          <w:szCs w:val="24"/>
        </w:rPr>
        <w:t>donner acte du Ministre. La renonciation totale ou partielle n’ouvre droit à aucun remboursement des droits et frais payés à l’Etat pour l’octroi</w:t>
      </w:r>
      <w:r w:rsidRPr="00584826">
        <w:rPr>
          <w:rFonts w:ascii="Times New Roman" w:hAnsi="Times New Roman"/>
          <w:sz w:val="24"/>
          <w:szCs w:val="24"/>
        </w:rPr>
        <w:t xml:space="preserve"> </w:t>
      </w:r>
      <w:r w:rsidRPr="00584826">
        <w:rPr>
          <w:rFonts w:ascii="Times New Roman" w:hAnsi="Times New Roman"/>
          <w:color w:val="000000"/>
          <w:sz w:val="24"/>
          <w:szCs w:val="24"/>
        </w:rPr>
        <w:t>ou le maintien du permis.  Elle ne dégage</w:t>
      </w:r>
      <w:r w:rsidRPr="00584826">
        <w:rPr>
          <w:rFonts w:ascii="Times New Roman" w:hAnsi="Times New Roman"/>
          <w:sz w:val="24"/>
          <w:szCs w:val="24"/>
        </w:rPr>
        <w:t xml:space="preserve"> </w:t>
      </w:r>
      <w:r w:rsidRPr="00584826">
        <w:rPr>
          <w:rFonts w:ascii="Times New Roman" w:hAnsi="Times New Roman"/>
          <w:color w:val="000000"/>
          <w:sz w:val="24"/>
          <w:szCs w:val="24"/>
        </w:rPr>
        <w:t>pas le titulaire de sa responsabilité relative</w:t>
      </w:r>
      <w:r w:rsidRPr="00584826">
        <w:rPr>
          <w:rFonts w:ascii="Times New Roman" w:hAnsi="Times New Roman"/>
          <w:sz w:val="24"/>
          <w:szCs w:val="24"/>
        </w:rPr>
        <w:t xml:space="preserve"> </w:t>
      </w:r>
      <w:r w:rsidRPr="00584826">
        <w:rPr>
          <w:rFonts w:ascii="Times New Roman" w:hAnsi="Times New Roman"/>
          <w:color w:val="000000"/>
          <w:sz w:val="24"/>
          <w:szCs w:val="24"/>
        </w:rPr>
        <w:t>à la protection de l’environnement.</w:t>
      </w:r>
    </w:p>
    <w:p w14:paraId="242C7907"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92BC86D"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b/>
          <w:color w:val="000000"/>
          <w:sz w:val="24"/>
          <w:szCs w:val="24"/>
        </w:rPr>
        <w:t xml:space="preserve">Procédure </w:t>
      </w:r>
      <w:r w:rsidRPr="00584826">
        <w:rPr>
          <w:rFonts w:ascii="Times New Roman" w:hAnsi="Times New Roman"/>
          <w:color w:val="000000"/>
          <w:sz w:val="24"/>
          <w:szCs w:val="24"/>
        </w:rPr>
        <w:t xml:space="preserve">(Règlement minier : art. 119-123 pour le PR, art. 173-179 pour le PE et art. 200-201 pour le PER) </w:t>
      </w:r>
    </w:p>
    <w:p w14:paraId="7FB4D0FD"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6C2807B"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Dès réception de la déclaration de renonciation, le CAMI vérifie si elle est recevable. En cas de recevabilité, il délivre au Titulaire un récépissé et procède à l’instruction de la déclaration  dans les dix jours ouvrables. Après instruction et si toutes les conditions sont respectées, le CAMI transmet la déclaration au Ministre dans le délai ci-dessus.</w:t>
      </w:r>
    </w:p>
    <w:p w14:paraId="7EC7D136"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52B1FF59"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 xml:space="preserve">Le Ministre en prend acte par un arrêté qu’il transmet au CAMI. Sous réserve des dispositions des articles 119 et 120, à défaut pour le Ministre de donner acte à une déclaration de renonciation dans le délai de trois mois à compter de la date de son dépôt,  la déclaration  est réputée acceptée. </w:t>
      </w:r>
    </w:p>
    <w:p w14:paraId="119DE78E"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71C8ED7A"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color w:val="000000"/>
          <w:sz w:val="24"/>
          <w:szCs w:val="24"/>
        </w:rPr>
      </w:pPr>
      <w:r w:rsidRPr="00584826">
        <w:rPr>
          <w:rFonts w:ascii="Times New Roman" w:hAnsi="Times New Roman"/>
          <w:color w:val="000000"/>
          <w:sz w:val="24"/>
          <w:szCs w:val="24"/>
        </w:rPr>
        <w:t>Dans les deux cas, le CAMI procède à l’affichage de l’Arrêté ou de la déclaration de renonciation réputée acceptée et à la notification au Titulaire, sans frais, par le moyen le plus rapide et fiable.</w:t>
      </w:r>
    </w:p>
    <w:p w14:paraId="444B58AE" w14:textId="77777777" w:rsidR="00C579DE" w:rsidRPr="00584826" w:rsidRDefault="00C579DE" w:rsidP="00C579DE">
      <w:pPr>
        <w:autoSpaceDE w:val="0"/>
        <w:autoSpaceDN w:val="0"/>
        <w:adjustRightInd w:val="0"/>
        <w:spacing w:after="0" w:line="240" w:lineRule="auto"/>
        <w:jc w:val="both"/>
        <w:rPr>
          <w:rFonts w:ascii="Times New Roman" w:hAnsi="Times New Roman"/>
          <w:color w:val="000000"/>
          <w:sz w:val="24"/>
          <w:szCs w:val="24"/>
        </w:rPr>
      </w:pPr>
    </w:p>
    <w:p w14:paraId="1995F2B1" w14:textId="77777777" w:rsidR="00C579DE" w:rsidRPr="00584826" w:rsidRDefault="00C579DE" w:rsidP="00C579DE">
      <w:pPr>
        <w:tabs>
          <w:tab w:val="left" w:pos="0"/>
          <w:tab w:val="left" w:pos="851"/>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En fin, le CAMI procède à la modification de l’inscription du Permis au registre des droits octroyés du report du Périmètre sur la carte de retombes minières et du Certificat.</w:t>
      </w:r>
    </w:p>
    <w:p w14:paraId="288C1DDC" w14:textId="77777777" w:rsidR="00C579DE" w:rsidRPr="00584826" w:rsidRDefault="00C579DE" w:rsidP="00C579DE">
      <w:pPr>
        <w:autoSpaceDE w:val="0"/>
        <w:autoSpaceDN w:val="0"/>
        <w:adjustRightInd w:val="0"/>
        <w:spacing w:after="0" w:line="240" w:lineRule="auto"/>
        <w:rPr>
          <w:rFonts w:ascii="Times New Roman" w:hAnsi="Times New Roman"/>
          <w:b/>
          <w:bCs/>
          <w:color w:val="000000"/>
          <w:sz w:val="24"/>
          <w:szCs w:val="24"/>
        </w:rPr>
      </w:pPr>
      <w:r w:rsidRPr="00584826">
        <w:rPr>
          <w:rFonts w:ascii="Times New Roman" w:hAnsi="Times New Roman"/>
          <w:b/>
          <w:bCs/>
          <w:color w:val="000000"/>
          <w:sz w:val="24"/>
          <w:szCs w:val="24"/>
        </w:rPr>
        <w:t xml:space="preserve"> </w:t>
      </w:r>
    </w:p>
    <w:p w14:paraId="2262452F" w14:textId="77777777" w:rsidR="00C579DE" w:rsidRPr="00584826" w:rsidRDefault="00C579DE" w:rsidP="00C579DE">
      <w:pPr>
        <w:tabs>
          <w:tab w:val="left" w:pos="0"/>
        </w:tabs>
        <w:autoSpaceDE w:val="0"/>
        <w:autoSpaceDN w:val="0"/>
        <w:adjustRightInd w:val="0"/>
        <w:spacing w:after="0" w:line="240" w:lineRule="auto"/>
        <w:jc w:val="both"/>
        <w:rPr>
          <w:rFonts w:ascii="Times New Roman" w:hAnsi="Times New Roman"/>
          <w:sz w:val="24"/>
          <w:szCs w:val="24"/>
        </w:rPr>
      </w:pPr>
      <w:r w:rsidRPr="00584826">
        <w:rPr>
          <w:rFonts w:ascii="Times New Roman" w:hAnsi="Times New Roman"/>
          <w:color w:val="000000"/>
          <w:sz w:val="24"/>
          <w:szCs w:val="24"/>
        </w:rPr>
        <w:t>En cas de renonciation partielle, le CAMI modifie l’inscription du Permis au registre des droits octroyés ainsi que le report du périmètre sur la carte de retombes minières.  Il procède à la modification du Certificat en y</w:t>
      </w:r>
      <w:r w:rsidRPr="00584826">
        <w:rPr>
          <w:rFonts w:ascii="Times New Roman" w:hAnsi="Times New Roman"/>
          <w:sz w:val="24"/>
          <w:szCs w:val="24"/>
        </w:rPr>
        <w:t xml:space="preserve"> </w:t>
      </w:r>
      <w:r w:rsidRPr="00584826">
        <w:rPr>
          <w:rFonts w:ascii="Times New Roman" w:hAnsi="Times New Roman"/>
          <w:color w:val="000000"/>
          <w:sz w:val="24"/>
          <w:szCs w:val="24"/>
        </w:rPr>
        <w:t>inscrivant la renonciation partielle et le retourne au Titulaire dans un délai de cinq jours à compter de</w:t>
      </w:r>
      <w:r w:rsidRPr="00584826">
        <w:rPr>
          <w:rFonts w:ascii="Times New Roman" w:hAnsi="Times New Roman"/>
          <w:sz w:val="24"/>
          <w:szCs w:val="24"/>
        </w:rPr>
        <w:t xml:space="preserve"> </w:t>
      </w:r>
      <w:r w:rsidRPr="00584826">
        <w:rPr>
          <w:rFonts w:ascii="Times New Roman" w:hAnsi="Times New Roman"/>
          <w:color w:val="000000"/>
          <w:sz w:val="24"/>
          <w:szCs w:val="24"/>
        </w:rPr>
        <w:t>l’inscription.</w:t>
      </w:r>
    </w:p>
    <w:p w14:paraId="2F04E1C2" w14:textId="77777777" w:rsidR="000B5866" w:rsidRDefault="000B5866">
      <w:pPr>
        <w:rPr>
          <w:sz w:val="24"/>
          <w:szCs w:val="24"/>
        </w:rPr>
      </w:pPr>
      <w:r>
        <w:rPr>
          <w:sz w:val="24"/>
          <w:szCs w:val="24"/>
        </w:rPr>
        <w:br w:type="page"/>
      </w:r>
    </w:p>
    <w:p w14:paraId="6955A677" w14:textId="77777777" w:rsidR="00C579DE" w:rsidRPr="00840E13" w:rsidRDefault="00C579DE" w:rsidP="000B5866">
      <w:pPr>
        <w:pStyle w:val="Titre2"/>
        <w:ind w:left="142"/>
        <w:jc w:val="both"/>
        <w:rPr>
          <w:rFonts w:ascii="Times New Roman" w:hAnsi="Times New Roman" w:cs="Times New Roman"/>
          <w:sz w:val="24"/>
          <w:szCs w:val="24"/>
        </w:rPr>
      </w:pPr>
      <w:bookmarkStart w:id="119" w:name="_Toc516047987"/>
      <w:bookmarkStart w:id="120" w:name="_Toc518468069"/>
      <w:r>
        <w:rPr>
          <w:rFonts w:ascii="Times New Roman" w:hAnsi="Times New Roman" w:cs="Times New Roman"/>
          <w:sz w:val="24"/>
          <w:szCs w:val="24"/>
        </w:rPr>
        <w:lastRenderedPageBreak/>
        <w:t>II</w:t>
      </w:r>
      <w:r w:rsidRPr="00840E13">
        <w:rPr>
          <w:rFonts w:ascii="Times New Roman" w:hAnsi="Times New Roman" w:cs="Times New Roman"/>
          <w:sz w:val="24"/>
          <w:szCs w:val="24"/>
        </w:rPr>
        <w:t>.</w:t>
      </w:r>
      <w:r>
        <w:rPr>
          <w:rFonts w:ascii="Times New Roman" w:hAnsi="Times New Roman" w:cs="Times New Roman"/>
          <w:sz w:val="24"/>
          <w:szCs w:val="24"/>
        </w:rPr>
        <w:t>3.</w:t>
      </w:r>
      <w:r w:rsidRPr="00840E13">
        <w:rPr>
          <w:rFonts w:ascii="Times New Roman" w:hAnsi="Times New Roman" w:cs="Times New Roman"/>
          <w:sz w:val="24"/>
          <w:szCs w:val="24"/>
        </w:rPr>
        <w:t xml:space="preserve"> Transactions sur les droits miniers</w:t>
      </w:r>
      <w:bookmarkEnd w:id="119"/>
      <w:bookmarkEnd w:id="120"/>
    </w:p>
    <w:p w14:paraId="15E01F04" w14:textId="77777777" w:rsidR="00C579DE" w:rsidRPr="00840E13" w:rsidRDefault="00C579DE" w:rsidP="000B5866">
      <w:pPr>
        <w:pStyle w:val="Titre3"/>
        <w:ind w:left="426"/>
        <w:rPr>
          <w:rFonts w:ascii="Times New Roman" w:hAnsi="Times New Roman" w:cs="Times New Roman"/>
          <w:sz w:val="24"/>
          <w:szCs w:val="24"/>
        </w:rPr>
      </w:pPr>
      <w:bookmarkStart w:id="121" w:name="_Toc516047988"/>
      <w:bookmarkStart w:id="122" w:name="_Toc518468070"/>
      <w:r>
        <w:rPr>
          <w:rFonts w:ascii="Times New Roman" w:hAnsi="Times New Roman" w:cs="Times New Roman"/>
          <w:sz w:val="24"/>
          <w:szCs w:val="24"/>
        </w:rPr>
        <w:t>3</w:t>
      </w:r>
      <w:r w:rsidRPr="00840E13">
        <w:rPr>
          <w:rFonts w:ascii="Times New Roman" w:hAnsi="Times New Roman" w:cs="Times New Roman"/>
          <w:sz w:val="24"/>
          <w:szCs w:val="24"/>
        </w:rPr>
        <w:t>.1 L’amodiation</w:t>
      </w:r>
      <w:bookmarkEnd w:id="121"/>
      <w:bookmarkEnd w:id="122"/>
    </w:p>
    <w:p w14:paraId="521292A0"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L’amodiation consiste en un louage pour une durée fixe ou indéterminée, sans faculté de sous louage, de tout ou partie d’un droit minier d’exploitation ou d’Autorisation d’exploitation de carrières permanente, moyennant une rémunération fixée par accord entre l’amodiant et l’amodiataire (art. 177 al. 1er)</w:t>
      </w:r>
    </w:p>
    <w:p w14:paraId="2D8FEA7A"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L’instruction des demandes d’amodiation est effectuée selon la même procédure que l’attribution initiale (voir ci-dessus : octroi par demande des droits).</w:t>
      </w:r>
    </w:p>
    <w:p w14:paraId="052328CF" w14:textId="77777777" w:rsidR="00C579DE" w:rsidRPr="00324867" w:rsidRDefault="00C579DE" w:rsidP="00C579DE">
      <w:pPr>
        <w:tabs>
          <w:tab w:val="left" w:pos="8505"/>
        </w:tabs>
        <w:autoSpaceDE w:val="0"/>
        <w:autoSpaceDN w:val="0"/>
        <w:adjustRightInd w:val="0"/>
        <w:spacing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Le permis concerné par l’amodiation est inscrit provisoirement par le Cadastre Minier sur la carte Cadastrale pendant la durée de l’instruction.</w:t>
      </w:r>
    </w:p>
    <w:p w14:paraId="30E1428D"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A la conclusion de l’instruction cadastrale, le Cadastre Minier procède à l’affichage de l’instruction et à la remise d’une copie de l’avis au requérant.</w:t>
      </w:r>
    </w:p>
    <w:p w14:paraId="4CC2DB49" w14:textId="77777777" w:rsidR="00C579DE" w:rsidRPr="00324867" w:rsidRDefault="00C579DE" w:rsidP="00C579DE">
      <w:pPr>
        <w:tabs>
          <w:tab w:val="left" w:pos="8505"/>
        </w:tabs>
        <w:autoSpaceDE w:val="0"/>
        <w:autoSpaceDN w:val="0"/>
        <w:adjustRightInd w:val="0"/>
        <w:spacing w:after="0"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En cas d’avis favorable, le Cadastre Minier procède à l’enregistrement du contrat d’amodiation dans un délai de cinq jours. La validité de ce contrat correspond à la période de validité non échue du titre de l’amodiant (art. 178).</w:t>
      </w:r>
    </w:p>
    <w:p w14:paraId="6A6364F8" w14:textId="77777777" w:rsidR="00C579DE" w:rsidRPr="00324867" w:rsidRDefault="00C579DE" w:rsidP="00C579DE">
      <w:pPr>
        <w:tabs>
          <w:tab w:val="left" w:pos="8505"/>
        </w:tabs>
        <w:autoSpaceDE w:val="0"/>
        <w:autoSpaceDN w:val="0"/>
        <w:adjustRightInd w:val="0"/>
        <w:spacing w:line="240" w:lineRule="auto"/>
        <w:jc w:val="both"/>
        <w:rPr>
          <w:rFonts w:ascii="Times New Roman" w:hAnsi="Times New Roman"/>
          <w:bCs/>
          <w:iCs/>
          <w:color w:val="000000"/>
          <w:sz w:val="24"/>
          <w:szCs w:val="24"/>
        </w:rPr>
      </w:pPr>
      <w:r w:rsidRPr="00324867">
        <w:rPr>
          <w:rFonts w:ascii="Times New Roman" w:hAnsi="Times New Roman"/>
          <w:bCs/>
          <w:iCs/>
          <w:color w:val="000000"/>
          <w:sz w:val="24"/>
          <w:szCs w:val="24"/>
        </w:rPr>
        <w:t>Le contrat d’amodiation est enregistré par le Cadastre Minier moyennant paiement, au profit du Trésor public, d’une taxe pour enregistrement dont le montant est déterminé par voie réglementaire (art. 179 al. 4).</w:t>
      </w:r>
    </w:p>
    <w:p w14:paraId="02257C0D" w14:textId="77777777" w:rsidR="00C579DE" w:rsidRPr="00840E13" w:rsidRDefault="00C579DE" w:rsidP="000B5866">
      <w:pPr>
        <w:pStyle w:val="Titre3"/>
        <w:ind w:left="426"/>
        <w:rPr>
          <w:rFonts w:ascii="Times New Roman" w:hAnsi="Times New Roman" w:cs="Times New Roman"/>
          <w:sz w:val="24"/>
          <w:szCs w:val="24"/>
        </w:rPr>
      </w:pPr>
      <w:bookmarkStart w:id="123" w:name="_Toc516047989"/>
      <w:bookmarkStart w:id="124" w:name="_Toc518468071"/>
      <w:r>
        <w:rPr>
          <w:rFonts w:ascii="Times New Roman" w:hAnsi="Times New Roman" w:cs="Times New Roman"/>
          <w:sz w:val="24"/>
          <w:szCs w:val="24"/>
        </w:rPr>
        <w:t>3</w:t>
      </w:r>
      <w:r w:rsidRPr="00840E13">
        <w:rPr>
          <w:rFonts w:ascii="Times New Roman" w:hAnsi="Times New Roman" w:cs="Times New Roman"/>
          <w:sz w:val="24"/>
          <w:szCs w:val="24"/>
        </w:rPr>
        <w:t>.2 La mutation</w:t>
      </w:r>
      <w:bookmarkEnd w:id="123"/>
      <w:bookmarkEnd w:id="124"/>
    </w:p>
    <w:p w14:paraId="7314BF28" w14:textId="77777777" w:rsidR="00C579DE" w:rsidRPr="00982D9C"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Les mutations peuvent avoir lieu par voie de cession (art. 182), transmission (art. 187) ou par contrat d’option (art. 193). Les transmissions peuvent avoir lieu en cas de fusion ou de décès. Le cessionnaire ou la personne en faveur de laquelle la transmission est faite doit préalablement être une personne éligible à requérir et à détenir les droits miniers ou les Autorisations d’Exploitation de Carrière Permanente.</w:t>
      </w:r>
    </w:p>
    <w:p w14:paraId="7DF669D3" w14:textId="77777777" w:rsidR="00C579DE" w:rsidRPr="00982D9C"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L’instruction des demandes de mutation est effectuée selon la même procédure que l’attribution initiale (voir ci-dessus : octroi par demande des droits).</w:t>
      </w:r>
    </w:p>
    <w:p w14:paraId="7146C400" w14:textId="77777777" w:rsidR="000B5866" w:rsidRDefault="00C579DE" w:rsidP="00C579DE">
      <w:pPr>
        <w:tabs>
          <w:tab w:val="left" w:pos="8505"/>
        </w:tabs>
        <w:spacing w:after="120"/>
        <w:jc w:val="both"/>
        <w:rPr>
          <w:rFonts w:ascii="Times New Roman" w:hAnsi="Times New Roman"/>
          <w:sz w:val="24"/>
          <w:szCs w:val="24"/>
        </w:rPr>
      </w:pPr>
      <w:r w:rsidRPr="00982D9C">
        <w:rPr>
          <w:rFonts w:ascii="Times New Roman" w:hAnsi="Times New Roman"/>
          <w:sz w:val="24"/>
          <w:szCs w:val="24"/>
        </w:rPr>
        <w:t>Les mutations doivent être inscrites par le Cadastre Minier dans les mêmes conditions que l’inscription initiale.</w:t>
      </w:r>
    </w:p>
    <w:p w14:paraId="42DA3A0C" w14:textId="77777777" w:rsidR="000B5866" w:rsidRDefault="000B5866">
      <w:pPr>
        <w:rPr>
          <w:rFonts w:ascii="Times New Roman" w:hAnsi="Times New Roman"/>
          <w:sz w:val="24"/>
          <w:szCs w:val="24"/>
        </w:rPr>
      </w:pPr>
      <w:r>
        <w:rPr>
          <w:rFonts w:ascii="Times New Roman" w:hAnsi="Times New Roman"/>
          <w:sz w:val="24"/>
          <w:szCs w:val="24"/>
        </w:rPr>
        <w:br w:type="page"/>
      </w:r>
    </w:p>
    <w:p w14:paraId="48F1B68D" w14:textId="77777777" w:rsidR="00C579DE" w:rsidRPr="00840E13" w:rsidRDefault="00C579DE" w:rsidP="000B5866">
      <w:pPr>
        <w:pStyle w:val="Titre2"/>
        <w:ind w:left="142"/>
        <w:jc w:val="both"/>
        <w:rPr>
          <w:rFonts w:ascii="Times New Roman" w:hAnsi="Times New Roman" w:cs="Times New Roman"/>
          <w:sz w:val="24"/>
          <w:szCs w:val="24"/>
        </w:rPr>
      </w:pPr>
      <w:bookmarkStart w:id="125" w:name="_Toc516047990"/>
      <w:bookmarkStart w:id="126" w:name="_Toc518468072"/>
      <w:r>
        <w:rPr>
          <w:rFonts w:ascii="Times New Roman" w:hAnsi="Times New Roman" w:cs="Times New Roman"/>
          <w:sz w:val="24"/>
          <w:szCs w:val="24"/>
        </w:rPr>
        <w:lastRenderedPageBreak/>
        <w:t>II.4</w:t>
      </w:r>
      <w:r w:rsidRPr="00840E13">
        <w:rPr>
          <w:rFonts w:ascii="Times New Roman" w:hAnsi="Times New Roman" w:cs="Times New Roman"/>
          <w:sz w:val="24"/>
          <w:szCs w:val="24"/>
        </w:rPr>
        <w:t>. Types de titres miniers octroyés</w:t>
      </w:r>
      <w:bookmarkEnd w:id="125"/>
      <w:bookmarkEnd w:id="126"/>
    </w:p>
    <w:p w14:paraId="7BF5110B" w14:textId="77777777" w:rsidR="00C579DE" w:rsidRPr="00840E13" w:rsidRDefault="00C579DE" w:rsidP="000B5866">
      <w:pPr>
        <w:pStyle w:val="Citation"/>
        <w:spacing w:after="0" w:line="240" w:lineRule="auto"/>
        <w:ind w:left="426"/>
        <w:rPr>
          <w:rFonts w:ascii="Times New Roman" w:hAnsi="Times New Roman"/>
          <w:sz w:val="24"/>
          <w:szCs w:val="24"/>
        </w:rPr>
      </w:pPr>
      <w:r>
        <w:rPr>
          <w:rFonts w:ascii="Times New Roman" w:hAnsi="Times New Roman"/>
          <w:sz w:val="24"/>
          <w:szCs w:val="24"/>
        </w:rPr>
        <w:t xml:space="preserve">4.1. </w:t>
      </w:r>
      <w:r w:rsidRPr="00840E13">
        <w:rPr>
          <w:rFonts w:ascii="Times New Roman" w:hAnsi="Times New Roman"/>
          <w:sz w:val="24"/>
          <w:szCs w:val="24"/>
        </w:rPr>
        <w:t xml:space="preserve">Les droits miniers </w:t>
      </w:r>
    </w:p>
    <w:p w14:paraId="039BBA54" w14:textId="77777777" w:rsidR="00C579DE" w:rsidRPr="00840E13" w:rsidRDefault="00C579DE" w:rsidP="00C579DE">
      <w:pPr>
        <w:rPr>
          <w:rFonts w:ascii="Times New Roman" w:hAnsi="Times New Roman"/>
        </w:rPr>
      </w:pPr>
    </w:p>
    <w:tbl>
      <w:tblPr>
        <w:tblStyle w:val="TableauGrille1Clair1"/>
        <w:tblW w:w="9482" w:type="dxa"/>
        <w:tblLayout w:type="fixed"/>
        <w:tblLook w:val="04A0" w:firstRow="1" w:lastRow="0" w:firstColumn="1" w:lastColumn="0" w:noHBand="0" w:noVBand="1"/>
      </w:tblPr>
      <w:tblGrid>
        <w:gridCol w:w="1388"/>
        <w:gridCol w:w="4724"/>
        <w:gridCol w:w="3370"/>
      </w:tblGrid>
      <w:tr w:rsidR="0027285F" w:rsidRPr="0027285F" w14:paraId="771A4207" w14:textId="77777777" w:rsidTr="0027285F">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8" w:type="dxa"/>
            <w:hideMark/>
          </w:tcPr>
          <w:p w14:paraId="0847C837" w14:textId="77777777" w:rsidR="00C579DE" w:rsidRPr="0027285F" w:rsidRDefault="00C579DE" w:rsidP="00E4464E">
            <w:pPr>
              <w:tabs>
                <w:tab w:val="left" w:pos="8505"/>
              </w:tabs>
              <w:jc w:val="both"/>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Type</w:t>
            </w:r>
          </w:p>
        </w:tc>
        <w:tc>
          <w:tcPr>
            <w:tcW w:w="4724" w:type="dxa"/>
            <w:hideMark/>
          </w:tcPr>
          <w:p w14:paraId="44D89316"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Portée</w:t>
            </w:r>
          </w:p>
        </w:tc>
        <w:tc>
          <w:tcPr>
            <w:tcW w:w="3370" w:type="dxa"/>
            <w:hideMark/>
          </w:tcPr>
          <w:p w14:paraId="438F9A2B"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18"/>
                <w:szCs w:val="18"/>
                <w:lang w:eastAsia="fr-FR"/>
              </w:rPr>
            </w:pPr>
            <w:r w:rsidRPr="0027285F">
              <w:rPr>
                <w:rFonts w:ascii="Times New Roman" w:hAnsi="Times New Roman"/>
                <w:color w:val="404040" w:themeColor="text1" w:themeTint="BF"/>
                <w:sz w:val="18"/>
                <w:szCs w:val="18"/>
                <w:lang w:eastAsia="fr-FR"/>
              </w:rPr>
              <w:t>Durée</w:t>
            </w:r>
          </w:p>
        </w:tc>
      </w:tr>
      <w:tr w:rsidR="00C579DE" w:rsidRPr="00840E13" w14:paraId="67D4B16E" w14:textId="77777777" w:rsidTr="0027285F">
        <w:trPr>
          <w:trHeight w:val="1583"/>
        </w:trPr>
        <w:tc>
          <w:tcPr>
            <w:cnfStyle w:val="001000000000" w:firstRow="0" w:lastRow="0" w:firstColumn="1" w:lastColumn="0" w:oddVBand="0" w:evenVBand="0" w:oddHBand="0" w:evenHBand="0" w:firstRowFirstColumn="0" w:firstRowLastColumn="0" w:lastRowFirstColumn="0" w:lastRowLastColumn="0"/>
            <w:tcW w:w="1388" w:type="dxa"/>
            <w:noWrap/>
            <w:hideMark/>
          </w:tcPr>
          <w:p w14:paraId="456401A6" w14:textId="77777777" w:rsidR="00C579DE" w:rsidRPr="00840E13" w:rsidRDefault="00C579DE" w:rsidP="00E4464E">
            <w:pPr>
              <w:tabs>
                <w:tab w:val="left" w:pos="8505"/>
              </w:tabs>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 Recherche (PR)</w:t>
            </w:r>
          </w:p>
        </w:tc>
        <w:tc>
          <w:tcPr>
            <w:tcW w:w="4724" w:type="dxa"/>
            <w:hideMark/>
          </w:tcPr>
          <w:p w14:paraId="28A027EE"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r w:rsidRPr="00840E13">
              <w:rPr>
                <w:rFonts w:ascii="Times New Roman" w:hAnsi="Times New Roman"/>
                <w:color w:val="000000"/>
                <w:sz w:val="18"/>
                <w:szCs w:val="18"/>
                <w:lang w:eastAsia="fr-FR"/>
              </w:rPr>
              <w:t>Le Permis de Recherches confère à son titulaire le droit exclusif d’effectuer, à l’intérieur du périmètre sur lequel il est établi et pendant la durée de sa validité, les travaux de recherches des substances minérales classées en mines pour lesquelles le permis est accordé et les substances associées si le titulaire demande l’extension du permis à ces substances (art. 50)</w:t>
            </w:r>
          </w:p>
        </w:tc>
        <w:tc>
          <w:tcPr>
            <w:tcW w:w="3370" w:type="dxa"/>
            <w:hideMark/>
          </w:tcPr>
          <w:p w14:paraId="23289B25"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La durée du Permis de recherches est de cinq ans renouvelable une fois pour la même durée pour toutes les substances minérales (art. 52)</w:t>
            </w:r>
          </w:p>
        </w:tc>
      </w:tr>
      <w:tr w:rsidR="00C579DE" w:rsidRPr="00840E13" w14:paraId="43738CF5" w14:textId="77777777" w:rsidTr="0027285F">
        <w:trPr>
          <w:trHeight w:val="1357"/>
        </w:trPr>
        <w:tc>
          <w:tcPr>
            <w:cnfStyle w:val="001000000000" w:firstRow="0" w:lastRow="0" w:firstColumn="1" w:lastColumn="0" w:oddVBand="0" w:evenVBand="0" w:oddHBand="0" w:evenHBand="0" w:firstRowFirstColumn="0" w:firstRowLastColumn="0" w:lastRowFirstColumn="0" w:lastRowLastColumn="0"/>
            <w:tcW w:w="1388" w:type="dxa"/>
            <w:noWrap/>
            <w:hideMark/>
          </w:tcPr>
          <w:p w14:paraId="65A7C4BE" w14:textId="77777777" w:rsidR="00C579DE" w:rsidRPr="00840E13" w:rsidRDefault="00C579DE" w:rsidP="00E4464E">
            <w:pPr>
              <w:tabs>
                <w:tab w:val="left" w:pos="8505"/>
              </w:tabs>
              <w:jc w:val="both"/>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(PE)</w:t>
            </w:r>
          </w:p>
        </w:tc>
        <w:tc>
          <w:tcPr>
            <w:tcW w:w="4724" w:type="dxa"/>
            <w:hideMark/>
          </w:tcPr>
          <w:p w14:paraId="7033898F"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Le Permis d’exploitation autorise son titulaire d’exploiter, à l’intérieur du périmètre qu’il couvre, les substances minérales pour lesquelles il est spécifiquement établi. Ces substances minérales sont celles que le titulaire a identifiées et dont il a démontré l’existence d’un gisement économiquement exploitable. Le Permis d’exploitation peut s’étendre aux substances associées ou non-associées conformément aux dispositions de l’article 77 du présent Code (art. 64).</w:t>
            </w:r>
          </w:p>
        </w:tc>
        <w:tc>
          <w:tcPr>
            <w:tcW w:w="3370" w:type="dxa"/>
            <w:hideMark/>
          </w:tcPr>
          <w:p w14:paraId="0431194E"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La durée de validité du Permis d’exploitation ne peut excéder vingt-cinq ans.</w:t>
            </w:r>
          </w:p>
          <w:p w14:paraId="6AA47D9B"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r w:rsidRPr="00840E13">
              <w:rPr>
                <w:rFonts w:ascii="Times New Roman" w:eastAsia="Times New Roman" w:hAnsi="Times New Roman"/>
                <w:iCs/>
                <w:color w:val="000000"/>
                <w:sz w:val="18"/>
                <w:szCs w:val="18"/>
                <w:lang w:eastAsia="fr-FR"/>
              </w:rPr>
              <w:t>Il est renouvelable sur demande de son titulaire pour des périodes n’excédant pas quinze ans chacune (art. 67).</w:t>
            </w:r>
          </w:p>
        </w:tc>
      </w:tr>
      <w:tr w:rsidR="00C579DE" w:rsidRPr="00840E13" w14:paraId="56A1818C" w14:textId="77777777" w:rsidTr="0027285F">
        <w:trPr>
          <w:trHeight w:val="2940"/>
        </w:trPr>
        <w:tc>
          <w:tcPr>
            <w:cnfStyle w:val="001000000000" w:firstRow="0" w:lastRow="0" w:firstColumn="1" w:lastColumn="0" w:oddVBand="0" w:evenVBand="0" w:oddHBand="0" w:evenHBand="0" w:firstRowFirstColumn="0" w:firstRowLastColumn="0" w:lastRowFirstColumn="0" w:lastRowLastColumn="0"/>
            <w:tcW w:w="1388" w:type="dxa"/>
            <w:hideMark/>
          </w:tcPr>
          <w:p w14:paraId="42F37130" w14:textId="77777777" w:rsidR="00C579DE" w:rsidRPr="00840E13" w:rsidRDefault="00C579DE" w:rsidP="00E4464E">
            <w:pPr>
              <w:tabs>
                <w:tab w:val="left" w:pos="8505"/>
              </w:tabs>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des Rejets (PER)</w:t>
            </w:r>
          </w:p>
        </w:tc>
        <w:tc>
          <w:tcPr>
            <w:tcW w:w="4724" w:type="dxa"/>
          </w:tcPr>
          <w:p w14:paraId="104A24A5"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Le Permis d’exploitation des rejets porte sur les substances minérales pour lesquelles il est spécifiquement établi. Le Permis d’exploitation des rejets peut s’étendre à d’autres substances minérales conformément aux dispositions de l’article 77 du présent Code (art. 88).</w:t>
            </w:r>
          </w:p>
          <w:p w14:paraId="076C782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Sans préjudice des dispositions de l’alinéa précédent, le requérant cessionnaire partiel d’un Permis d’exploitation présente l’acte de cession partielle au Cadastre minier pour enregistrement auquel est jointe sa demande de Permis d’exploitation des rejets (art. 91 al.2)</w:t>
            </w:r>
          </w:p>
        </w:tc>
        <w:tc>
          <w:tcPr>
            <w:tcW w:w="3370" w:type="dxa"/>
            <w:hideMark/>
          </w:tcPr>
          <w:p w14:paraId="67494794"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lang w:eastAsia="fr-FR"/>
              </w:rPr>
              <w:t>Les dispositions de l’article 80 du s’appliquent au dépôt, à l’instruction de la demande ainsi qu’à l’octroi ou au refus du renouvellement du Permis d’exploitation des rejets (art. 95).</w:t>
            </w:r>
          </w:p>
          <w:p w14:paraId="014BDE73" w14:textId="77777777" w:rsidR="00C579DE" w:rsidRPr="00840E13" w:rsidRDefault="00C579DE" w:rsidP="00E446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fr-FR"/>
              </w:rPr>
            </w:pPr>
            <w:r w:rsidRPr="00840E13">
              <w:rPr>
                <w:rFonts w:ascii="Times New Roman" w:hAnsi="Times New Roman"/>
                <w:color w:val="000000"/>
                <w:sz w:val="18"/>
                <w:szCs w:val="18"/>
              </w:rPr>
              <w:t>La durée du Permis d’Exploitation des Rejets est de cinq ans renouvelable plusieurs fois pour la même durée art. 90).</w:t>
            </w:r>
          </w:p>
        </w:tc>
      </w:tr>
      <w:tr w:rsidR="00C579DE" w:rsidRPr="00840E13" w14:paraId="22036E15" w14:textId="77777777" w:rsidTr="0027285F">
        <w:trPr>
          <w:trHeight w:val="2262"/>
        </w:trPr>
        <w:tc>
          <w:tcPr>
            <w:cnfStyle w:val="001000000000" w:firstRow="0" w:lastRow="0" w:firstColumn="1" w:lastColumn="0" w:oddVBand="0" w:evenVBand="0" w:oddHBand="0" w:evenHBand="0" w:firstRowFirstColumn="0" w:firstRowLastColumn="0" w:lastRowFirstColumn="0" w:lastRowLastColumn="0"/>
            <w:tcW w:w="1388" w:type="dxa"/>
            <w:hideMark/>
          </w:tcPr>
          <w:p w14:paraId="0CF3B24D" w14:textId="77777777" w:rsidR="00C579DE" w:rsidRPr="00840E13" w:rsidRDefault="00C579DE" w:rsidP="00E4464E">
            <w:pPr>
              <w:tabs>
                <w:tab w:val="left" w:pos="8505"/>
              </w:tabs>
              <w:jc w:val="both"/>
              <w:rPr>
                <w:rFonts w:ascii="Times New Roman" w:hAnsi="Times New Roman"/>
                <w:b w:val="0"/>
                <w:color w:val="000000"/>
                <w:sz w:val="18"/>
                <w:szCs w:val="18"/>
                <w:lang w:eastAsia="fr-FR"/>
              </w:rPr>
            </w:pPr>
            <w:r w:rsidRPr="00840E13">
              <w:rPr>
                <w:rFonts w:ascii="Times New Roman" w:hAnsi="Times New Roman"/>
                <w:color w:val="000000"/>
                <w:sz w:val="18"/>
                <w:szCs w:val="18"/>
                <w:lang w:eastAsia="fr-FR"/>
              </w:rPr>
              <w:t>Permis d’Exploitation de Petite Mine (PEPM)</w:t>
            </w:r>
          </w:p>
        </w:tc>
        <w:tc>
          <w:tcPr>
            <w:tcW w:w="4724" w:type="dxa"/>
          </w:tcPr>
          <w:p w14:paraId="7C0BFC20"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Les dispositions de l’article 64 ci-dessus (voir PE) s’appliquent au Permis d’exploitation de petite mine (art. 99).</w:t>
            </w:r>
          </w:p>
          <w:p w14:paraId="72D454C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8"/>
                <w:szCs w:val="18"/>
                <w:lang w:eastAsia="fr-FR"/>
              </w:rPr>
            </w:pPr>
          </w:p>
        </w:tc>
        <w:tc>
          <w:tcPr>
            <w:tcW w:w="3370" w:type="dxa"/>
          </w:tcPr>
          <w:p w14:paraId="56C45723"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La durée de validité du Permis d’exploitation de petite mine est de cinq ans renouvelable une fois pour la même durée.</w:t>
            </w:r>
          </w:p>
          <w:p w14:paraId="454FD0A0"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18"/>
                <w:szCs w:val="18"/>
                <w:lang w:eastAsia="fr-FR"/>
              </w:rPr>
            </w:pPr>
            <w:r w:rsidRPr="00840E13">
              <w:rPr>
                <w:rFonts w:ascii="Times New Roman" w:eastAsia="Times New Roman" w:hAnsi="Times New Roman"/>
                <w:iCs/>
                <w:color w:val="000000"/>
                <w:sz w:val="18"/>
                <w:szCs w:val="18"/>
                <w:lang w:eastAsia="fr-FR"/>
              </w:rPr>
              <w:t>Toutefois, à la demande du titulaire et après avis favorable de la Direction des mines, le ministre peut proroger la durée d’un Permis d’exploitation de petite mine au-delà de dix ans, suivant le cas et pour les substances dont l’exploitation dépasse dix ans (art. 101).</w:t>
            </w:r>
          </w:p>
        </w:tc>
      </w:tr>
    </w:tbl>
    <w:p w14:paraId="78A2DAF1" w14:textId="77777777" w:rsidR="000B5866" w:rsidRDefault="000B5866" w:rsidP="000B5866">
      <w:pPr>
        <w:pStyle w:val="Citation"/>
        <w:spacing w:after="0" w:line="240" w:lineRule="auto"/>
        <w:ind w:left="426"/>
        <w:rPr>
          <w:rFonts w:ascii="Times New Roman" w:hAnsi="Times New Roman"/>
          <w:sz w:val="24"/>
          <w:szCs w:val="24"/>
        </w:rPr>
      </w:pPr>
    </w:p>
    <w:p w14:paraId="1AB63C0D" w14:textId="77777777" w:rsidR="000B5866" w:rsidRDefault="000B5866">
      <w:pPr>
        <w:rPr>
          <w:rFonts w:ascii="Times New Roman" w:hAnsi="Times New Roman"/>
          <w:i/>
          <w:iCs/>
          <w:color w:val="5B9BD5" w:themeColor="accent1"/>
          <w:sz w:val="24"/>
          <w:szCs w:val="24"/>
        </w:rPr>
      </w:pPr>
      <w:r>
        <w:rPr>
          <w:rFonts w:ascii="Times New Roman" w:hAnsi="Times New Roman"/>
          <w:sz w:val="24"/>
          <w:szCs w:val="24"/>
        </w:rPr>
        <w:br w:type="page"/>
      </w:r>
    </w:p>
    <w:p w14:paraId="5C2A72CC" w14:textId="77777777" w:rsidR="00C579DE" w:rsidRPr="00840E13" w:rsidRDefault="00C579DE" w:rsidP="000B5866">
      <w:pPr>
        <w:pStyle w:val="Citation"/>
        <w:spacing w:after="0" w:line="240" w:lineRule="auto"/>
        <w:ind w:left="426"/>
        <w:rPr>
          <w:rFonts w:ascii="Times New Roman" w:hAnsi="Times New Roman"/>
          <w:sz w:val="24"/>
          <w:szCs w:val="24"/>
        </w:rPr>
      </w:pPr>
      <w:r>
        <w:rPr>
          <w:rFonts w:ascii="Times New Roman" w:hAnsi="Times New Roman"/>
          <w:sz w:val="24"/>
          <w:szCs w:val="24"/>
        </w:rPr>
        <w:lastRenderedPageBreak/>
        <w:t xml:space="preserve">4.2. </w:t>
      </w:r>
      <w:r w:rsidRPr="00840E13">
        <w:rPr>
          <w:rFonts w:ascii="Times New Roman" w:hAnsi="Times New Roman"/>
          <w:sz w:val="24"/>
          <w:szCs w:val="24"/>
        </w:rPr>
        <w:t>Les droits de carrières</w:t>
      </w:r>
    </w:p>
    <w:p w14:paraId="6382DF2A" w14:textId="77777777" w:rsidR="00C579DE" w:rsidRPr="00840E13" w:rsidRDefault="00C579DE" w:rsidP="00C579DE">
      <w:pPr>
        <w:tabs>
          <w:tab w:val="left" w:pos="8505"/>
        </w:tabs>
        <w:spacing w:after="0"/>
        <w:jc w:val="both"/>
        <w:rPr>
          <w:rFonts w:ascii="Times New Roman" w:eastAsia="+mn-ea" w:hAnsi="Times New Roman"/>
        </w:rPr>
      </w:pPr>
    </w:p>
    <w:tbl>
      <w:tblPr>
        <w:tblStyle w:val="TableauGrille1Clair1"/>
        <w:tblW w:w="4949" w:type="pct"/>
        <w:tblLook w:val="04A0" w:firstRow="1" w:lastRow="0" w:firstColumn="1" w:lastColumn="0" w:noHBand="0" w:noVBand="1"/>
      </w:tblPr>
      <w:tblGrid>
        <w:gridCol w:w="2206"/>
        <w:gridCol w:w="4287"/>
        <w:gridCol w:w="3039"/>
      </w:tblGrid>
      <w:tr w:rsidR="0027285F" w:rsidRPr="0027285F" w14:paraId="31613979" w14:textId="77777777" w:rsidTr="002728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pct"/>
            <w:hideMark/>
          </w:tcPr>
          <w:p w14:paraId="2EB82D0B" w14:textId="77777777" w:rsidR="00C579DE" w:rsidRPr="0027285F" w:rsidRDefault="00C579DE" w:rsidP="00E4464E">
            <w:pPr>
              <w:tabs>
                <w:tab w:val="left" w:pos="8505"/>
              </w:tabs>
              <w:rPr>
                <w:rFonts w:ascii="Times New Roman" w:hAnsi="Times New Roman"/>
                <w:color w:val="404040" w:themeColor="text1" w:themeTint="BF"/>
                <w:sz w:val="20"/>
                <w:szCs w:val="20"/>
                <w:lang w:eastAsia="fr-FR"/>
              </w:rPr>
            </w:pPr>
            <w:r w:rsidRPr="0027285F">
              <w:rPr>
                <w:rFonts w:ascii="Times New Roman" w:hAnsi="Times New Roman"/>
                <w:color w:val="404040" w:themeColor="text1" w:themeTint="BF"/>
                <w:sz w:val="20"/>
                <w:szCs w:val="20"/>
                <w:lang w:eastAsia="fr-FR"/>
              </w:rPr>
              <w:t>Type</w:t>
            </w:r>
          </w:p>
        </w:tc>
        <w:tc>
          <w:tcPr>
            <w:tcW w:w="2249" w:type="pct"/>
            <w:hideMark/>
          </w:tcPr>
          <w:p w14:paraId="6AA4D037"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20"/>
                <w:szCs w:val="20"/>
                <w:lang w:eastAsia="fr-FR"/>
              </w:rPr>
            </w:pPr>
            <w:r w:rsidRPr="0027285F">
              <w:rPr>
                <w:rFonts w:ascii="Times New Roman" w:hAnsi="Times New Roman"/>
                <w:color w:val="404040" w:themeColor="text1" w:themeTint="BF"/>
                <w:sz w:val="20"/>
                <w:szCs w:val="20"/>
                <w:lang w:eastAsia="fr-FR"/>
              </w:rPr>
              <w:t>Portée</w:t>
            </w:r>
          </w:p>
        </w:tc>
        <w:tc>
          <w:tcPr>
            <w:tcW w:w="1594" w:type="pct"/>
            <w:hideMark/>
          </w:tcPr>
          <w:p w14:paraId="4FD4CA49" w14:textId="77777777" w:rsidR="00C579DE" w:rsidRPr="0027285F" w:rsidRDefault="00C579DE" w:rsidP="00E4464E">
            <w:pPr>
              <w:tabs>
                <w:tab w:val="left" w:pos="8505"/>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04040" w:themeColor="text1" w:themeTint="BF"/>
                <w:sz w:val="20"/>
                <w:szCs w:val="20"/>
                <w:lang w:eastAsia="fr-FR"/>
              </w:rPr>
            </w:pPr>
            <w:r w:rsidRPr="0027285F">
              <w:rPr>
                <w:rFonts w:ascii="Times New Roman" w:hAnsi="Times New Roman"/>
                <w:color w:val="404040" w:themeColor="text1" w:themeTint="BF"/>
                <w:sz w:val="20"/>
                <w:szCs w:val="20"/>
                <w:lang w:eastAsia="fr-FR"/>
              </w:rPr>
              <w:t>Durée</w:t>
            </w:r>
          </w:p>
        </w:tc>
      </w:tr>
      <w:tr w:rsidR="00C579DE" w:rsidRPr="00840E13" w14:paraId="6AF5C361" w14:textId="77777777" w:rsidTr="0027285F">
        <w:trPr>
          <w:trHeight w:val="675"/>
        </w:trPr>
        <w:tc>
          <w:tcPr>
            <w:cnfStyle w:val="001000000000" w:firstRow="0" w:lastRow="0" w:firstColumn="1" w:lastColumn="0" w:oddVBand="0" w:evenVBand="0" w:oddHBand="0" w:evenHBand="0" w:firstRowFirstColumn="0" w:firstRowLastColumn="0" w:lastRowFirstColumn="0" w:lastRowLastColumn="0"/>
            <w:tcW w:w="1157" w:type="pct"/>
            <w:hideMark/>
          </w:tcPr>
          <w:p w14:paraId="79E6A075"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 recherche des produits de carrière (ARPC)</w:t>
            </w:r>
          </w:p>
        </w:tc>
        <w:tc>
          <w:tcPr>
            <w:tcW w:w="2249" w:type="pct"/>
            <w:hideMark/>
          </w:tcPr>
          <w:p w14:paraId="1FA6AFFA"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fr-FR"/>
              </w:rPr>
            </w:pPr>
            <w:r w:rsidRPr="00840E13">
              <w:rPr>
                <w:rFonts w:ascii="Times New Roman" w:eastAsia="Times New Roman" w:hAnsi="Times New Roman"/>
                <w:iCs/>
                <w:color w:val="000000"/>
                <w:sz w:val="20"/>
                <w:szCs w:val="20"/>
                <w:lang w:eastAsia="fr-FR"/>
              </w:rPr>
              <w:t>L’Autorisation de recherches des produits de carrières porte sur les substances minérales classées en carrières pour lesquelles elle a été accordée (art. 136)</w:t>
            </w:r>
            <w:r w:rsidRPr="00840E13">
              <w:rPr>
                <w:rFonts w:ascii="Times New Roman" w:hAnsi="Times New Roman"/>
                <w:color w:val="000000"/>
                <w:sz w:val="20"/>
                <w:szCs w:val="20"/>
                <w:lang w:eastAsia="fr-FR"/>
              </w:rPr>
              <w:t>.</w:t>
            </w:r>
          </w:p>
        </w:tc>
        <w:tc>
          <w:tcPr>
            <w:tcW w:w="1594" w:type="pct"/>
            <w:hideMark/>
          </w:tcPr>
          <w:p w14:paraId="58B9CCE1"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eastAsia="fr-FR"/>
              </w:rPr>
            </w:pPr>
            <w:r w:rsidRPr="00840E13">
              <w:rPr>
                <w:rFonts w:ascii="Times New Roman" w:hAnsi="Times New Roman"/>
                <w:sz w:val="20"/>
                <w:szCs w:val="20"/>
                <w:lang w:eastAsia="fr-FR"/>
              </w:rPr>
              <w:t>Un an, renouvelable une fois pour la même durée (art. 138).</w:t>
            </w:r>
          </w:p>
        </w:tc>
      </w:tr>
      <w:tr w:rsidR="00C579DE" w:rsidRPr="00840E13" w14:paraId="1F5BAABE" w14:textId="77777777" w:rsidTr="0027285F">
        <w:trPr>
          <w:trHeight w:val="1318"/>
        </w:trPr>
        <w:tc>
          <w:tcPr>
            <w:cnfStyle w:val="001000000000" w:firstRow="0" w:lastRow="0" w:firstColumn="1" w:lastColumn="0" w:oddVBand="0" w:evenVBand="0" w:oddHBand="0" w:evenHBand="0" w:firstRowFirstColumn="0" w:firstRowLastColumn="0" w:lastRowFirstColumn="0" w:lastRowLastColumn="0"/>
            <w:tcW w:w="1157" w:type="pct"/>
            <w:hideMark/>
          </w:tcPr>
          <w:p w14:paraId="715552CD"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d’Exploitation de Carrières Permanente (AECP)</w:t>
            </w:r>
          </w:p>
        </w:tc>
        <w:tc>
          <w:tcPr>
            <w:tcW w:w="2249" w:type="pct"/>
            <w:hideMark/>
          </w:tcPr>
          <w:p w14:paraId="71567855"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eastAsia="Times New Roman" w:hAnsi="Times New Roman"/>
                <w:iCs/>
                <w:color w:val="000000"/>
                <w:sz w:val="20"/>
                <w:szCs w:val="20"/>
                <w:lang w:eastAsia="fr-FR"/>
              </w:rPr>
              <w:t>L’Autorisation d’exploitation de carrières permanente ou temporaire porte sur les produits de carrières pour lesquels elle est spécifiquement établie. Ces produits de carrières sont ceux que le titulaire a identifiés et dont il a démontré l’existence d’un gisement économiquement exploitable (art. 146).</w:t>
            </w:r>
          </w:p>
        </w:tc>
        <w:tc>
          <w:tcPr>
            <w:tcW w:w="1594" w:type="pct"/>
            <w:hideMark/>
          </w:tcPr>
          <w:p w14:paraId="1D534A72" w14:textId="77777777" w:rsidR="00C579DE" w:rsidRPr="00840E13" w:rsidRDefault="00C579DE" w:rsidP="00E4464E">
            <w:p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eastAsia="Times New Roman" w:hAnsi="Times New Roman"/>
                <w:iCs/>
                <w:color w:val="000000"/>
                <w:sz w:val="20"/>
                <w:szCs w:val="20"/>
                <w:lang w:eastAsia="fr-FR"/>
              </w:rPr>
              <w:t>La durée de validité de l’Autorisation d’exploitation des produits de carrière permanente est de cinq ans renouvelable plusieurs fois pour la même durée (art.</w:t>
            </w:r>
            <w:r w:rsidRPr="00840E13">
              <w:rPr>
                <w:rFonts w:ascii="Times New Roman" w:eastAsia="Times New Roman" w:hAnsi="Times New Roman"/>
                <w:color w:val="383838"/>
                <w:sz w:val="20"/>
                <w:szCs w:val="20"/>
                <w:lang w:eastAsia="fr-FR"/>
              </w:rPr>
              <w:t xml:space="preserve"> </w:t>
            </w:r>
            <w:r w:rsidRPr="00840E13">
              <w:rPr>
                <w:rFonts w:ascii="Times New Roman" w:hAnsi="Times New Roman"/>
                <w:bCs/>
                <w:color w:val="000000"/>
                <w:sz w:val="20"/>
                <w:szCs w:val="20"/>
                <w:lang w:eastAsia="fr-FR"/>
              </w:rPr>
              <w:t>149)</w:t>
            </w:r>
          </w:p>
        </w:tc>
      </w:tr>
      <w:tr w:rsidR="00C579DE" w:rsidRPr="00840E13" w14:paraId="30E41445" w14:textId="77777777" w:rsidTr="0027285F">
        <w:trPr>
          <w:trHeight w:val="2025"/>
        </w:trPr>
        <w:tc>
          <w:tcPr>
            <w:cnfStyle w:val="001000000000" w:firstRow="0" w:lastRow="0" w:firstColumn="1" w:lastColumn="0" w:oddVBand="0" w:evenVBand="0" w:oddHBand="0" w:evenHBand="0" w:firstRowFirstColumn="0" w:firstRowLastColumn="0" w:lastRowFirstColumn="0" w:lastRowLastColumn="0"/>
            <w:tcW w:w="1157" w:type="pct"/>
            <w:hideMark/>
          </w:tcPr>
          <w:p w14:paraId="1AB1FEC3" w14:textId="77777777" w:rsidR="00C579DE" w:rsidRPr="00840E13" w:rsidRDefault="00C579DE" w:rsidP="00E4464E">
            <w:pPr>
              <w:tabs>
                <w:tab w:val="left" w:pos="8505"/>
              </w:tabs>
              <w:rPr>
                <w:rFonts w:ascii="Times New Roman" w:hAnsi="Times New Roman"/>
                <w:b w:val="0"/>
                <w:color w:val="000000"/>
                <w:sz w:val="20"/>
                <w:szCs w:val="20"/>
                <w:lang w:eastAsia="fr-FR"/>
              </w:rPr>
            </w:pPr>
            <w:r w:rsidRPr="00840E13">
              <w:rPr>
                <w:rFonts w:ascii="Times New Roman" w:hAnsi="Times New Roman"/>
                <w:color w:val="000000"/>
                <w:sz w:val="20"/>
                <w:szCs w:val="20"/>
                <w:lang w:eastAsia="fr-FR"/>
              </w:rPr>
              <w:t>Autorisation d’Exploitation de Carrières Temporaire (AECT)</w:t>
            </w:r>
          </w:p>
        </w:tc>
        <w:tc>
          <w:tcPr>
            <w:tcW w:w="2249" w:type="pct"/>
            <w:hideMark/>
          </w:tcPr>
          <w:p w14:paraId="39873A1C"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83838"/>
                <w:sz w:val="20"/>
                <w:szCs w:val="20"/>
                <w:lang w:eastAsia="fr-FR"/>
              </w:rPr>
            </w:pPr>
            <w:r w:rsidRPr="00840E13">
              <w:rPr>
                <w:rFonts w:ascii="Times New Roman" w:hAnsi="Times New Roman"/>
                <w:color w:val="000000"/>
                <w:sz w:val="20"/>
                <w:szCs w:val="20"/>
                <w:lang w:eastAsia="fr-FR"/>
              </w:rPr>
              <w:t xml:space="preserve">La portée de l’Autorisation d’Exploitation de Carrières Temporaire est la même que celle de l’Autorisation d’Exploitation de Carrières Permanente. </w:t>
            </w:r>
            <w:r w:rsidRPr="00840E13">
              <w:rPr>
                <w:rFonts w:ascii="Times New Roman" w:eastAsia="Times New Roman" w:hAnsi="Times New Roman"/>
                <w:iCs/>
                <w:color w:val="000000"/>
                <w:sz w:val="20"/>
                <w:szCs w:val="20"/>
                <w:lang w:eastAsia="fr-FR"/>
              </w:rPr>
              <w:t xml:space="preserve">Toutefois, l’autorisation </w:t>
            </w:r>
            <w:r w:rsidRPr="00840E13">
              <w:rPr>
                <w:rFonts w:ascii="Times New Roman" w:hAnsi="Times New Roman"/>
                <w:color w:val="000000"/>
                <w:sz w:val="20"/>
                <w:szCs w:val="20"/>
                <w:lang w:eastAsia="fr-FR"/>
              </w:rPr>
              <w:t>d’exploitation</w:t>
            </w:r>
            <w:r w:rsidRPr="00840E13">
              <w:rPr>
                <w:rFonts w:ascii="Times New Roman" w:eastAsia="Times New Roman" w:hAnsi="Times New Roman"/>
                <w:iCs/>
                <w:color w:val="000000"/>
                <w:sz w:val="20"/>
                <w:szCs w:val="20"/>
                <w:lang w:eastAsia="fr-FR"/>
              </w:rPr>
              <w:t xml:space="preserve"> de carrières temporaire fixe la quantité des substances à extraire, les conditions d’occupation des terrains nécessaires aux prélèvements et aux activités connexes et indique les taxes à payer. Elle précise également les obligations du bénéficiaire notamment en ce qui concerne l’environnement et la remise en état des lieux après prélèvement (art. 147).</w:t>
            </w:r>
          </w:p>
          <w:p w14:paraId="13CD11A7"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0"/>
                <w:szCs w:val="20"/>
                <w:lang w:eastAsia="fr-FR"/>
              </w:rPr>
            </w:pPr>
          </w:p>
        </w:tc>
        <w:tc>
          <w:tcPr>
            <w:tcW w:w="1594" w:type="pct"/>
          </w:tcPr>
          <w:p w14:paraId="3D2AE01A" w14:textId="77777777" w:rsidR="00C579DE" w:rsidRPr="00840E13" w:rsidRDefault="00C579DE" w:rsidP="00E4464E">
            <w:pPr>
              <w:tabs>
                <w:tab w:val="left" w:pos="850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0"/>
                <w:szCs w:val="20"/>
                <w:lang w:eastAsia="fr-FR"/>
              </w:rPr>
            </w:pPr>
            <w:r w:rsidRPr="00840E13">
              <w:rPr>
                <w:rFonts w:ascii="Times New Roman" w:eastAsia="Times New Roman" w:hAnsi="Times New Roman"/>
                <w:iCs/>
                <w:color w:val="000000"/>
                <w:sz w:val="20"/>
                <w:szCs w:val="20"/>
                <w:lang w:eastAsia="fr-FR"/>
              </w:rPr>
              <w:t>La durée de validité de l’Autorisation d’exploitation des produits de carrière temporaire est d’un an non renouvelable. Toutefois, son titulaire a le droit de demander une nouvelle Autorisation d’exploitation temporaire pour le même Périmètre qui prendrait effet à l’échéance de l’autorisation en cours (art.</w:t>
            </w:r>
            <w:r w:rsidRPr="00840E13">
              <w:rPr>
                <w:rFonts w:ascii="Times New Roman" w:eastAsia="Times New Roman" w:hAnsi="Times New Roman"/>
                <w:color w:val="383838"/>
                <w:sz w:val="20"/>
                <w:szCs w:val="20"/>
                <w:lang w:eastAsia="fr-FR"/>
              </w:rPr>
              <w:t xml:space="preserve"> </w:t>
            </w:r>
            <w:r w:rsidRPr="00840E13">
              <w:rPr>
                <w:rFonts w:ascii="Times New Roman" w:hAnsi="Times New Roman"/>
                <w:bCs/>
                <w:color w:val="000000"/>
                <w:sz w:val="20"/>
                <w:szCs w:val="20"/>
                <w:lang w:eastAsia="fr-FR"/>
              </w:rPr>
              <w:t>149)</w:t>
            </w:r>
            <w:r w:rsidRPr="00840E13">
              <w:rPr>
                <w:rFonts w:ascii="Times New Roman" w:eastAsia="Times New Roman" w:hAnsi="Times New Roman"/>
                <w:iCs/>
                <w:color w:val="000000"/>
                <w:sz w:val="20"/>
                <w:szCs w:val="20"/>
                <w:lang w:eastAsia="fr-FR"/>
              </w:rPr>
              <w:t>.</w:t>
            </w:r>
          </w:p>
        </w:tc>
      </w:tr>
    </w:tbl>
    <w:p w14:paraId="38EA7834" w14:textId="77777777" w:rsidR="00C579DE" w:rsidRPr="00840E13" w:rsidRDefault="00C579DE" w:rsidP="00C579DE">
      <w:pPr>
        <w:tabs>
          <w:tab w:val="left" w:pos="8505"/>
        </w:tabs>
        <w:autoSpaceDE w:val="0"/>
        <w:autoSpaceDN w:val="0"/>
        <w:adjustRightInd w:val="0"/>
        <w:spacing w:before="240" w:after="120"/>
        <w:jc w:val="both"/>
        <w:rPr>
          <w:rFonts w:ascii="Times New Roman" w:eastAsia="+mn-ea" w:hAnsi="Times New Roman"/>
        </w:rPr>
      </w:pPr>
      <w:r w:rsidRPr="00840E13">
        <w:rPr>
          <w:rFonts w:ascii="Times New Roman" w:eastAsia="+mn-ea" w:hAnsi="Times New Roman"/>
        </w:rPr>
        <w:t xml:space="preserve">Dans le cadre de l’exploitation artisanale des mines, le Code Minier organise les critères d’institution  et de fermeture d’une zone d’exploitation artisanale (art. 109 &amp; 110), ainsi que les </w:t>
      </w:r>
      <w:r>
        <w:rPr>
          <w:rFonts w:ascii="Times New Roman" w:eastAsia="+mn-ea" w:hAnsi="Times New Roman"/>
        </w:rPr>
        <w:t>critères d’accès à cette zone (A</w:t>
      </w:r>
      <w:r w:rsidRPr="00840E13">
        <w:rPr>
          <w:rFonts w:ascii="Times New Roman" w:eastAsia="+mn-ea" w:hAnsi="Times New Roman"/>
        </w:rPr>
        <w:t>rt. 111).</w:t>
      </w:r>
    </w:p>
    <w:p w14:paraId="16123444" w14:textId="77777777" w:rsidR="00EF293C" w:rsidRDefault="00EF293C">
      <w:pPr>
        <w:rPr>
          <w:rFonts w:ascii="Times New Roman" w:hAnsi="Times New Roman"/>
        </w:rPr>
      </w:pPr>
      <w:r>
        <w:rPr>
          <w:rFonts w:ascii="Times New Roman" w:hAnsi="Times New Roman"/>
        </w:rPr>
        <w:br w:type="page"/>
      </w:r>
    </w:p>
    <w:p w14:paraId="536BD238" w14:textId="7A86C922" w:rsidR="00EF293C" w:rsidRPr="00EF293C" w:rsidRDefault="00B41722" w:rsidP="000738D3">
      <w:pPr>
        <w:pStyle w:val="Titre1"/>
        <w:numPr>
          <w:ilvl w:val="0"/>
          <w:numId w:val="4"/>
        </w:numPr>
        <w:ind w:left="567" w:hanging="425"/>
        <w:rPr>
          <w:rFonts w:ascii="Times New Roman" w:hAnsi="Times New Roman" w:cs="Times New Roman"/>
          <w:sz w:val="28"/>
          <w:szCs w:val="28"/>
        </w:rPr>
      </w:pPr>
      <w:bookmarkStart w:id="127" w:name="_Toc516764328"/>
      <w:bookmarkStart w:id="128" w:name="_Toc518468073"/>
      <w:r w:rsidRPr="00EF293C">
        <w:rPr>
          <w:rFonts w:ascii="Times New Roman" w:hAnsi="Times New Roman" w:cs="Times New Roman"/>
          <w:caps w:val="0"/>
          <w:sz w:val="28"/>
          <w:szCs w:val="28"/>
        </w:rPr>
        <w:lastRenderedPageBreak/>
        <w:t>REGISTRE DES DROITS</w:t>
      </w:r>
      <w:bookmarkEnd w:id="127"/>
      <w:bookmarkEnd w:id="128"/>
    </w:p>
    <w:p w14:paraId="6A6C8D0D" w14:textId="7BA7E3DB" w:rsidR="00EF293C" w:rsidRPr="00EF293C" w:rsidRDefault="00EF293C" w:rsidP="00EF293C">
      <w:pPr>
        <w:pStyle w:val="Titre2"/>
        <w:ind w:left="142"/>
        <w:jc w:val="both"/>
        <w:rPr>
          <w:rFonts w:ascii="Times New Roman" w:hAnsi="Times New Roman" w:cs="Times New Roman"/>
          <w:sz w:val="24"/>
          <w:szCs w:val="24"/>
        </w:rPr>
      </w:pPr>
      <w:bookmarkStart w:id="129" w:name="_Toc516764329"/>
      <w:bookmarkStart w:id="130" w:name="_Toc518468074"/>
      <w:r w:rsidRPr="00EF293C">
        <w:rPr>
          <w:rFonts w:ascii="Times New Roman" w:hAnsi="Times New Roman" w:cs="Times New Roman"/>
          <w:sz w:val="24"/>
          <w:szCs w:val="24"/>
        </w:rPr>
        <w:t>I</w:t>
      </w:r>
      <w:r>
        <w:rPr>
          <w:rFonts w:ascii="Times New Roman" w:hAnsi="Times New Roman" w:cs="Times New Roman"/>
          <w:sz w:val="24"/>
          <w:szCs w:val="24"/>
        </w:rPr>
        <w:t>II</w:t>
      </w:r>
      <w:r w:rsidRPr="00EF293C">
        <w:rPr>
          <w:rFonts w:ascii="Times New Roman" w:hAnsi="Times New Roman" w:cs="Times New Roman"/>
          <w:sz w:val="24"/>
          <w:szCs w:val="24"/>
        </w:rPr>
        <w:t xml:space="preserve">.1. </w:t>
      </w:r>
      <w:r w:rsidR="002942D7" w:rsidRPr="00EF293C">
        <w:rPr>
          <w:rFonts w:ascii="Times New Roman" w:hAnsi="Times New Roman" w:cs="Times New Roman"/>
          <w:caps w:val="0"/>
          <w:sz w:val="24"/>
          <w:szCs w:val="24"/>
        </w:rPr>
        <w:t>Registre des droits miniers</w:t>
      </w:r>
      <w:bookmarkEnd w:id="129"/>
      <w:bookmarkEnd w:id="130"/>
    </w:p>
    <w:p w14:paraId="616C1C57"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Le Cadastre Minier (CAMI) tient un registre public des droits miniers  qui est</w:t>
      </w:r>
      <w:r>
        <w:rPr>
          <w:rFonts w:ascii="Times New Roman" w:hAnsi="Times New Roman"/>
          <w:sz w:val="24"/>
          <w:szCs w:val="24"/>
        </w:rPr>
        <w:t xml:space="preserve"> automatiquement</w:t>
      </w:r>
      <w:r w:rsidRPr="000C200F">
        <w:rPr>
          <w:rFonts w:ascii="Times New Roman" w:hAnsi="Times New Roman"/>
          <w:sz w:val="24"/>
          <w:szCs w:val="24"/>
        </w:rPr>
        <w:t xml:space="preserve"> mis à jour</w:t>
      </w:r>
      <w:r>
        <w:rPr>
          <w:rFonts w:ascii="Times New Roman" w:hAnsi="Times New Roman"/>
          <w:sz w:val="24"/>
          <w:szCs w:val="24"/>
        </w:rPr>
        <w:t xml:space="preserve"> chaque fois qu’une nouvelle opération (demande, octroi, amodiation…) est enregistrée. Mais, comme son site est présentement en construction, on ne sait pas indiquer un lien vers ce registre.</w:t>
      </w:r>
    </w:p>
    <w:p w14:paraId="0B880FAC"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Dans le cadre du Rapport contextuel  ITIE-RDC 2016, le CAMI a transmis au S</w:t>
      </w:r>
      <w:r>
        <w:rPr>
          <w:rFonts w:ascii="Times New Roman" w:hAnsi="Times New Roman"/>
          <w:sz w:val="24"/>
          <w:szCs w:val="24"/>
        </w:rPr>
        <w:t>ecrétariat technique (</w:t>
      </w:r>
      <w:r w:rsidRPr="000C200F">
        <w:rPr>
          <w:rFonts w:ascii="Times New Roman" w:hAnsi="Times New Roman"/>
          <w:sz w:val="24"/>
          <w:szCs w:val="24"/>
        </w:rPr>
        <w:t>ST</w:t>
      </w:r>
      <w:r>
        <w:rPr>
          <w:rFonts w:ascii="Times New Roman" w:hAnsi="Times New Roman"/>
          <w:sz w:val="24"/>
          <w:szCs w:val="24"/>
        </w:rPr>
        <w:t xml:space="preserve">) </w:t>
      </w:r>
      <w:r w:rsidRPr="000C200F">
        <w:rPr>
          <w:rFonts w:ascii="Times New Roman" w:hAnsi="Times New Roman"/>
          <w:sz w:val="24"/>
          <w:szCs w:val="24"/>
        </w:rPr>
        <w:t xml:space="preserve">deux registres des droits valides respectivement au 31 décembre 2016 et au 31 décembre 2017, qui peuvent être consultés </w:t>
      </w:r>
      <w:r>
        <w:t>sur le site de l’ITIE-RDC</w:t>
      </w:r>
      <w:r>
        <w:rPr>
          <w:rStyle w:val="Appelnotedebasdep"/>
          <w:rFonts w:ascii="Times New Roman" w:hAnsi="Times New Roman"/>
          <w:color w:val="0563C1" w:themeColor="hyperlink"/>
          <w:sz w:val="24"/>
          <w:szCs w:val="24"/>
          <w:u w:val="single"/>
        </w:rPr>
        <w:footnoteReference w:id="18"/>
      </w:r>
      <w:r w:rsidRPr="0013277B">
        <w:rPr>
          <w:rFonts w:ascii="Times New Roman" w:hAnsi="Times New Roman"/>
          <w:sz w:val="24"/>
          <w:szCs w:val="24"/>
        </w:rPr>
        <w:t>.</w:t>
      </w:r>
    </w:p>
    <w:p w14:paraId="7DCDF9B2"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Ces registres contiennent des informations suivantes :</w:t>
      </w:r>
    </w:p>
    <w:p w14:paraId="61F1150D"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nom du titulaire du droit et son NIF ;</w:t>
      </w:r>
    </w:p>
    <w:p w14:paraId="78C1896F"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type, le numéro et le statut du permis ;</w:t>
      </w:r>
    </w:p>
    <w:p w14:paraId="33C24EE0"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province et la localisation ;</w:t>
      </w:r>
    </w:p>
    <w:p w14:paraId="4058C26A"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date de demande, d’octroi et d’expiration du permis ;</w:t>
      </w:r>
    </w:p>
    <w:p w14:paraId="28272A96" w14:textId="77777777" w:rsidR="00EF293C" w:rsidRPr="000C200F" w:rsidRDefault="00EF293C" w:rsidP="000738D3">
      <w:pPr>
        <w:pStyle w:val="Paragraphedeliste"/>
        <w:numPr>
          <w:ilvl w:val="0"/>
          <w:numId w:val="29"/>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(les) substance(s) couvertes par le permis.</w:t>
      </w:r>
    </w:p>
    <w:p w14:paraId="01997A50"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En outre, ces registres renseignent sur les transactions effectuées suivantes :</w:t>
      </w:r>
    </w:p>
    <w:p w14:paraId="77F5FCEA"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transformation des permis ;</w:t>
      </w:r>
    </w:p>
    <w:p w14:paraId="32F4A382"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L’amodiation ;</w:t>
      </w:r>
    </w:p>
    <w:p w14:paraId="6E317309"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La cession, partielle ou totale ;</w:t>
      </w:r>
    </w:p>
    <w:p w14:paraId="7A17250A"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L’hypothèque ;</w:t>
      </w:r>
    </w:p>
    <w:p w14:paraId="64F4EBBD" w14:textId="77777777" w:rsidR="00EF293C" w:rsidRPr="000C200F" w:rsidRDefault="00EF293C" w:rsidP="000738D3">
      <w:pPr>
        <w:pStyle w:val="Paragraphedeliste"/>
        <w:numPr>
          <w:ilvl w:val="0"/>
          <w:numId w:val="30"/>
        </w:numPr>
        <w:spacing w:after="0"/>
        <w:ind w:left="851"/>
        <w:jc w:val="both"/>
        <w:rPr>
          <w:rFonts w:ascii="Times New Roman" w:hAnsi="Times New Roman" w:cs="Times New Roman"/>
          <w:sz w:val="24"/>
          <w:szCs w:val="24"/>
        </w:rPr>
      </w:pPr>
      <w:r w:rsidRPr="000C200F">
        <w:rPr>
          <w:rFonts w:ascii="Times New Roman" w:hAnsi="Times New Roman" w:cs="Times New Roman"/>
          <w:sz w:val="24"/>
          <w:szCs w:val="24"/>
        </w:rPr>
        <w:t>Le contrat d’option.</w:t>
      </w:r>
    </w:p>
    <w:p w14:paraId="23049C49" w14:textId="77777777" w:rsidR="00EF293C" w:rsidRPr="000C200F" w:rsidRDefault="00EF293C" w:rsidP="00EF293C">
      <w:pPr>
        <w:ind w:left="142"/>
        <w:jc w:val="both"/>
        <w:rPr>
          <w:rFonts w:ascii="Times New Roman" w:hAnsi="Times New Roman"/>
          <w:sz w:val="24"/>
          <w:szCs w:val="24"/>
        </w:rPr>
      </w:pPr>
      <w:r w:rsidRPr="000C200F">
        <w:rPr>
          <w:rFonts w:ascii="Times New Roman" w:hAnsi="Times New Roman"/>
          <w:sz w:val="24"/>
          <w:szCs w:val="24"/>
        </w:rPr>
        <w:t xml:space="preserve">Pour chacune de ces transactions, les registres indiquent le bénéficiaire et la date de dépôt </w:t>
      </w:r>
      <w:r>
        <w:rPr>
          <w:rFonts w:ascii="Times New Roman" w:hAnsi="Times New Roman"/>
          <w:sz w:val="24"/>
          <w:szCs w:val="24"/>
        </w:rPr>
        <w:t xml:space="preserve">de la demande </w:t>
      </w:r>
      <w:r w:rsidRPr="000C200F">
        <w:rPr>
          <w:rFonts w:ascii="Times New Roman" w:hAnsi="Times New Roman"/>
          <w:sz w:val="24"/>
          <w:szCs w:val="24"/>
        </w:rPr>
        <w:t>au CAMI.</w:t>
      </w:r>
    </w:p>
    <w:p w14:paraId="02EC6235" w14:textId="77777777" w:rsidR="00EF293C" w:rsidRPr="000C200F" w:rsidRDefault="00EF293C" w:rsidP="00EF293C">
      <w:pPr>
        <w:tabs>
          <w:tab w:val="left" w:pos="8505"/>
        </w:tabs>
        <w:autoSpaceDE w:val="0"/>
        <w:autoSpaceDN w:val="0"/>
        <w:adjustRightInd w:val="0"/>
        <w:spacing w:before="240" w:after="120"/>
        <w:ind w:left="142"/>
        <w:jc w:val="both"/>
        <w:rPr>
          <w:rFonts w:ascii="Times New Roman" w:eastAsia="+mn-ea" w:hAnsi="Times New Roman"/>
        </w:rPr>
      </w:pPr>
      <w:r w:rsidRPr="000C200F">
        <w:rPr>
          <w:rFonts w:ascii="Times New Roman" w:eastAsia="+mn-ea" w:hAnsi="Times New Roman"/>
        </w:rPr>
        <w:t>En ce qui concerne les droits octroyés et les droits valides, la situation en 2016 et en 2017 se présente comme suit :</w:t>
      </w:r>
    </w:p>
    <w:p w14:paraId="41803BE2" w14:textId="77777777" w:rsidR="00EF293C" w:rsidRPr="000C200F" w:rsidRDefault="00EF293C" w:rsidP="00EF293C">
      <w:pPr>
        <w:ind w:left="567"/>
        <w:jc w:val="both"/>
        <w:rPr>
          <w:rFonts w:ascii="Times New Roman" w:hAnsi="Times New Roman"/>
          <w:b/>
          <w:i/>
          <w:sz w:val="24"/>
          <w:szCs w:val="24"/>
        </w:rPr>
      </w:pPr>
      <w:r w:rsidRPr="000C200F">
        <w:rPr>
          <w:rFonts w:ascii="Times New Roman" w:hAnsi="Times New Roman"/>
          <w:b/>
          <w:i/>
          <w:sz w:val="24"/>
          <w:szCs w:val="24"/>
        </w:rPr>
        <w:t>Droits octroyés et droits valides en 2016 et 2017</w:t>
      </w:r>
    </w:p>
    <w:tbl>
      <w:tblPr>
        <w:tblStyle w:val="TableauGrille1Clair1"/>
        <w:tblW w:w="6758" w:type="dxa"/>
        <w:tblInd w:w="562" w:type="dxa"/>
        <w:tblLook w:val="04A0" w:firstRow="1" w:lastRow="0" w:firstColumn="1" w:lastColumn="0" w:noHBand="0" w:noVBand="1"/>
      </w:tblPr>
      <w:tblGrid>
        <w:gridCol w:w="851"/>
        <w:gridCol w:w="1417"/>
        <w:gridCol w:w="1418"/>
        <w:gridCol w:w="1536"/>
        <w:gridCol w:w="1536"/>
      </w:tblGrid>
      <w:tr w:rsidR="00EF293C" w:rsidRPr="000C200F" w14:paraId="32BB8685" w14:textId="77777777" w:rsidTr="00EF293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dxa"/>
            <w:vMerge w:val="restart"/>
            <w:noWrap/>
            <w:hideMark/>
          </w:tcPr>
          <w:p w14:paraId="6F862285" w14:textId="77777777" w:rsidR="00EF293C" w:rsidRPr="000C200F" w:rsidRDefault="00EF293C" w:rsidP="00F000B0">
            <w:pPr>
              <w:rPr>
                <w:rFonts w:ascii="Times New Roman" w:eastAsia="Times New Roman" w:hAnsi="Times New Roman"/>
                <w:lang w:eastAsia="fr-FR"/>
              </w:rPr>
            </w:pPr>
            <w:r w:rsidRPr="000C200F">
              <w:rPr>
                <w:rFonts w:ascii="Times New Roman" w:eastAsia="Times New Roman" w:hAnsi="Times New Roman"/>
                <w:lang w:eastAsia="fr-FR"/>
              </w:rPr>
              <w:t>Type</w:t>
            </w:r>
          </w:p>
        </w:tc>
        <w:tc>
          <w:tcPr>
            <w:tcW w:w="2835" w:type="dxa"/>
            <w:gridSpan w:val="2"/>
            <w:noWrap/>
            <w:hideMark/>
          </w:tcPr>
          <w:p w14:paraId="07E73BDC" w14:textId="77777777" w:rsidR="00EF293C" w:rsidRPr="000C200F" w:rsidRDefault="00EF293C" w:rsidP="00F000B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eastAsia="fr-FR"/>
              </w:rPr>
              <w:t xml:space="preserve">Droits octroyés </w:t>
            </w:r>
          </w:p>
        </w:tc>
        <w:tc>
          <w:tcPr>
            <w:tcW w:w="0" w:type="auto"/>
            <w:gridSpan w:val="2"/>
            <w:noWrap/>
            <w:hideMark/>
          </w:tcPr>
          <w:p w14:paraId="4CF01DFE" w14:textId="77777777" w:rsidR="00EF293C" w:rsidRPr="000C200F" w:rsidRDefault="00EF293C" w:rsidP="00F000B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eastAsia="fr-FR"/>
              </w:rPr>
              <w:t>Droits Valides</w:t>
            </w:r>
          </w:p>
        </w:tc>
      </w:tr>
      <w:tr w:rsidR="00EF293C" w:rsidRPr="000C200F" w14:paraId="5DB83E15" w14:textId="77777777" w:rsidTr="00EF293C">
        <w:trPr>
          <w:trHeight w:val="288"/>
        </w:trPr>
        <w:tc>
          <w:tcPr>
            <w:cnfStyle w:val="001000000000" w:firstRow="0" w:lastRow="0" w:firstColumn="1" w:lastColumn="0" w:oddVBand="0" w:evenVBand="0" w:oddHBand="0" w:evenHBand="0" w:firstRowFirstColumn="0" w:firstRowLastColumn="0" w:lastRowFirstColumn="0" w:lastRowLastColumn="0"/>
            <w:tcW w:w="851" w:type="dxa"/>
            <w:vMerge/>
            <w:hideMark/>
          </w:tcPr>
          <w:p w14:paraId="5F246FB6" w14:textId="77777777" w:rsidR="00EF293C" w:rsidRPr="000C200F" w:rsidRDefault="00EF293C" w:rsidP="00F000B0">
            <w:pPr>
              <w:rPr>
                <w:rFonts w:ascii="Times New Roman" w:eastAsia="Times New Roman" w:hAnsi="Times New Roman"/>
                <w:color w:val="FFFFFF" w:themeColor="background1"/>
                <w:lang w:eastAsia="fr-FR"/>
              </w:rPr>
            </w:pPr>
          </w:p>
        </w:tc>
        <w:tc>
          <w:tcPr>
            <w:tcW w:w="1417" w:type="dxa"/>
            <w:noWrap/>
            <w:hideMark/>
          </w:tcPr>
          <w:p w14:paraId="13DE7954"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2016</w:t>
            </w:r>
          </w:p>
        </w:tc>
        <w:tc>
          <w:tcPr>
            <w:tcW w:w="1418" w:type="dxa"/>
            <w:noWrap/>
            <w:hideMark/>
          </w:tcPr>
          <w:p w14:paraId="58E147AF"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2017</w:t>
            </w:r>
          </w:p>
        </w:tc>
        <w:tc>
          <w:tcPr>
            <w:tcW w:w="0" w:type="auto"/>
            <w:noWrap/>
            <w:hideMark/>
          </w:tcPr>
          <w:p w14:paraId="5587D8F1"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 xml:space="preserve"> au 31/12/2016</w:t>
            </w:r>
          </w:p>
        </w:tc>
        <w:tc>
          <w:tcPr>
            <w:tcW w:w="0" w:type="auto"/>
            <w:noWrap/>
            <w:hideMark/>
          </w:tcPr>
          <w:p w14:paraId="579A839F" w14:textId="77777777" w:rsidR="00EF293C" w:rsidRPr="00EF293C"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04040" w:themeColor="text1" w:themeTint="BF"/>
                <w:lang w:eastAsia="fr-FR"/>
              </w:rPr>
            </w:pPr>
            <w:r w:rsidRPr="00EF293C">
              <w:rPr>
                <w:rFonts w:ascii="Times New Roman" w:eastAsia="Times New Roman" w:hAnsi="Times New Roman"/>
                <w:color w:val="404040" w:themeColor="text1" w:themeTint="BF"/>
                <w:lang w:eastAsia="fr-FR"/>
              </w:rPr>
              <w:t xml:space="preserve"> au 31/12/2017</w:t>
            </w:r>
          </w:p>
        </w:tc>
      </w:tr>
      <w:tr w:rsidR="00EF293C" w:rsidRPr="000C200F" w14:paraId="4752F8DB"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3284DF"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PR</w:t>
            </w:r>
          </w:p>
        </w:tc>
        <w:tc>
          <w:tcPr>
            <w:tcW w:w="1417" w:type="dxa"/>
            <w:hideMark/>
          </w:tcPr>
          <w:p w14:paraId="2D201F4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36 </w:t>
            </w:r>
          </w:p>
        </w:tc>
        <w:tc>
          <w:tcPr>
            <w:tcW w:w="1418" w:type="dxa"/>
            <w:noWrap/>
            <w:hideMark/>
          </w:tcPr>
          <w:p w14:paraId="445DA0F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328</w:t>
            </w:r>
          </w:p>
        </w:tc>
        <w:tc>
          <w:tcPr>
            <w:tcW w:w="0" w:type="auto"/>
            <w:noWrap/>
            <w:hideMark/>
          </w:tcPr>
          <w:p w14:paraId="56F523B5"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1387</w:t>
            </w:r>
          </w:p>
        </w:tc>
        <w:tc>
          <w:tcPr>
            <w:tcW w:w="0" w:type="auto"/>
            <w:noWrap/>
            <w:hideMark/>
          </w:tcPr>
          <w:p w14:paraId="1567B9E3"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1672</w:t>
            </w:r>
          </w:p>
        </w:tc>
      </w:tr>
      <w:tr w:rsidR="00EF293C" w:rsidRPr="000C200F" w14:paraId="1A885458"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521B6A9"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w:t>
            </w:r>
          </w:p>
        </w:tc>
        <w:tc>
          <w:tcPr>
            <w:tcW w:w="1417" w:type="dxa"/>
            <w:hideMark/>
          </w:tcPr>
          <w:p w14:paraId="096947B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21 </w:t>
            </w:r>
          </w:p>
        </w:tc>
        <w:tc>
          <w:tcPr>
            <w:tcW w:w="1418" w:type="dxa"/>
            <w:noWrap/>
            <w:hideMark/>
          </w:tcPr>
          <w:p w14:paraId="26F0F48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35</w:t>
            </w:r>
          </w:p>
        </w:tc>
        <w:tc>
          <w:tcPr>
            <w:tcW w:w="0" w:type="auto"/>
            <w:noWrap/>
            <w:hideMark/>
          </w:tcPr>
          <w:p w14:paraId="04E27A20"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495</w:t>
            </w:r>
          </w:p>
        </w:tc>
        <w:tc>
          <w:tcPr>
            <w:tcW w:w="0" w:type="auto"/>
            <w:noWrap/>
            <w:hideMark/>
          </w:tcPr>
          <w:p w14:paraId="7F73DA3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530</w:t>
            </w:r>
          </w:p>
        </w:tc>
      </w:tr>
      <w:tr w:rsidR="00EF293C" w:rsidRPr="000C200F" w14:paraId="7D4ECD73"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B1862F2"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PER</w:t>
            </w:r>
          </w:p>
        </w:tc>
        <w:tc>
          <w:tcPr>
            <w:tcW w:w="1417" w:type="dxa"/>
            <w:noWrap/>
            <w:hideMark/>
          </w:tcPr>
          <w:p w14:paraId="7198D9D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w:t>
            </w:r>
          </w:p>
        </w:tc>
        <w:tc>
          <w:tcPr>
            <w:tcW w:w="1418" w:type="dxa"/>
            <w:noWrap/>
            <w:hideMark/>
          </w:tcPr>
          <w:p w14:paraId="0FEA1E1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3</w:t>
            </w:r>
          </w:p>
        </w:tc>
        <w:tc>
          <w:tcPr>
            <w:tcW w:w="0" w:type="auto"/>
            <w:noWrap/>
            <w:hideMark/>
          </w:tcPr>
          <w:p w14:paraId="2391447B"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16FCDA49"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15</w:t>
            </w:r>
          </w:p>
        </w:tc>
      </w:tr>
      <w:tr w:rsidR="00EF293C" w:rsidRPr="000C200F" w14:paraId="652F6052"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32CB80D"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PEPM</w:t>
            </w:r>
          </w:p>
        </w:tc>
        <w:tc>
          <w:tcPr>
            <w:tcW w:w="1417" w:type="dxa"/>
            <w:hideMark/>
          </w:tcPr>
          <w:p w14:paraId="759DAD8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13 </w:t>
            </w:r>
          </w:p>
        </w:tc>
        <w:tc>
          <w:tcPr>
            <w:tcW w:w="1418" w:type="dxa"/>
            <w:noWrap/>
            <w:hideMark/>
          </w:tcPr>
          <w:p w14:paraId="3D17EA7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598AB4F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135</w:t>
            </w:r>
          </w:p>
        </w:tc>
        <w:tc>
          <w:tcPr>
            <w:tcW w:w="0" w:type="auto"/>
            <w:noWrap/>
            <w:hideMark/>
          </w:tcPr>
          <w:p w14:paraId="394D4A7D"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154</w:t>
            </w:r>
          </w:p>
        </w:tc>
      </w:tr>
      <w:tr w:rsidR="00EF293C" w:rsidRPr="000C200F" w14:paraId="73CBFE3B"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58F0B7E"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AECP</w:t>
            </w:r>
          </w:p>
        </w:tc>
        <w:tc>
          <w:tcPr>
            <w:tcW w:w="1417" w:type="dxa"/>
            <w:hideMark/>
          </w:tcPr>
          <w:p w14:paraId="3BB8DB95"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41 </w:t>
            </w:r>
          </w:p>
        </w:tc>
        <w:tc>
          <w:tcPr>
            <w:tcW w:w="1418" w:type="dxa"/>
            <w:noWrap/>
            <w:hideMark/>
          </w:tcPr>
          <w:p w14:paraId="3DCCB1CE"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9</w:t>
            </w:r>
          </w:p>
        </w:tc>
        <w:tc>
          <w:tcPr>
            <w:tcW w:w="0" w:type="auto"/>
            <w:noWrap/>
            <w:hideMark/>
          </w:tcPr>
          <w:p w14:paraId="70CDFB08"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265</w:t>
            </w:r>
          </w:p>
        </w:tc>
        <w:tc>
          <w:tcPr>
            <w:tcW w:w="0" w:type="auto"/>
            <w:noWrap/>
            <w:hideMark/>
          </w:tcPr>
          <w:p w14:paraId="292461E3"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272</w:t>
            </w:r>
          </w:p>
        </w:tc>
      </w:tr>
      <w:tr w:rsidR="00EF293C" w:rsidRPr="000C200F" w14:paraId="2D91D5F3"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3E5032F"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ARPC</w:t>
            </w:r>
          </w:p>
        </w:tc>
        <w:tc>
          <w:tcPr>
            <w:tcW w:w="1417" w:type="dxa"/>
            <w:hideMark/>
          </w:tcPr>
          <w:p w14:paraId="33B815B1"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3   </w:t>
            </w:r>
          </w:p>
        </w:tc>
        <w:tc>
          <w:tcPr>
            <w:tcW w:w="1418" w:type="dxa"/>
            <w:noWrap/>
            <w:hideMark/>
          </w:tcPr>
          <w:p w14:paraId="3824E544"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70</w:t>
            </w:r>
          </w:p>
        </w:tc>
        <w:tc>
          <w:tcPr>
            <w:tcW w:w="0" w:type="auto"/>
            <w:noWrap/>
            <w:hideMark/>
          </w:tcPr>
          <w:p w14:paraId="7A7C43DB"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135</w:t>
            </w:r>
          </w:p>
        </w:tc>
        <w:tc>
          <w:tcPr>
            <w:tcW w:w="0" w:type="auto"/>
            <w:noWrap/>
            <w:hideMark/>
          </w:tcPr>
          <w:p w14:paraId="0C4426D1"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202</w:t>
            </w:r>
          </w:p>
        </w:tc>
      </w:tr>
      <w:tr w:rsidR="00EF293C" w:rsidRPr="000C200F" w14:paraId="5C18E28E"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EC9A3B1"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C.U.P</w:t>
            </w:r>
          </w:p>
        </w:tc>
        <w:tc>
          <w:tcPr>
            <w:tcW w:w="1417" w:type="dxa"/>
            <w:noWrap/>
            <w:hideMark/>
          </w:tcPr>
          <w:p w14:paraId="2899A40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1418" w:type="dxa"/>
            <w:noWrap/>
            <w:hideMark/>
          </w:tcPr>
          <w:p w14:paraId="29367B82"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   -</w:t>
            </w:r>
          </w:p>
        </w:tc>
        <w:tc>
          <w:tcPr>
            <w:tcW w:w="0" w:type="auto"/>
            <w:noWrap/>
            <w:hideMark/>
          </w:tcPr>
          <w:p w14:paraId="2A2CF156"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0" w:type="auto"/>
            <w:noWrap/>
            <w:hideMark/>
          </w:tcPr>
          <w:p w14:paraId="1933322F"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10</w:t>
            </w:r>
          </w:p>
        </w:tc>
      </w:tr>
      <w:tr w:rsidR="00EF293C" w:rsidRPr="000C200F" w14:paraId="1DF941A9" w14:textId="77777777" w:rsidTr="00EF293C">
        <w:trPr>
          <w:trHeight w:val="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1B8453E" w14:textId="77777777" w:rsidR="00EF293C" w:rsidRPr="000C200F" w:rsidRDefault="00EF293C" w:rsidP="00F000B0">
            <w:pPr>
              <w:rPr>
                <w:rFonts w:ascii="Times New Roman" w:eastAsia="Times New Roman" w:hAnsi="Times New Roman"/>
                <w:color w:val="000000"/>
                <w:lang w:eastAsia="fr-FR"/>
              </w:rPr>
            </w:pPr>
            <w:r w:rsidRPr="000C200F">
              <w:rPr>
                <w:rFonts w:ascii="Times New Roman" w:eastAsia="Times New Roman" w:hAnsi="Times New Roman"/>
                <w:color w:val="000000"/>
                <w:lang w:eastAsia="fr-FR"/>
              </w:rPr>
              <w:t xml:space="preserve">Total </w:t>
            </w:r>
          </w:p>
        </w:tc>
        <w:tc>
          <w:tcPr>
            <w:tcW w:w="1417" w:type="dxa"/>
            <w:noWrap/>
            <w:hideMark/>
          </w:tcPr>
          <w:p w14:paraId="55452554"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 </w:t>
            </w:r>
          </w:p>
        </w:tc>
        <w:tc>
          <w:tcPr>
            <w:tcW w:w="1418" w:type="dxa"/>
            <w:noWrap/>
            <w:hideMark/>
          </w:tcPr>
          <w:p w14:paraId="58B5DE22" w14:textId="77777777" w:rsidR="00EF293C" w:rsidRPr="000C200F" w:rsidRDefault="00EF293C"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Total</w:t>
            </w:r>
          </w:p>
        </w:tc>
        <w:tc>
          <w:tcPr>
            <w:tcW w:w="0" w:type="auto"/>
            <w:noWrap/>
            <w:hideMark/>
          </w:tcPr>
          <w:p w14:paraId="5417974A"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2426</w:t>
            </w:r>
          </w:p>
        </w:tc>
        <w:tc>
          <w:tcPr>
            <w:tcW w:w="0" w:type="auto"/>
            <w:noWrap/>
            <w:hideMark/>
          </w:tcPr>
          <w:p w14:paraId="2813E307" w14:textId="77777777" w:rsidR="00EF293C" w:rsidRPr="000C200F" w:rsidRDefault="00EF293C"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0C200F">
              <w:rPr>
                <w:rFonts w:ascii="Times New Roman" w:eastAsia="Times New Roman" w:hAnsi="Times New Roman"/>
                <w:color w:val="000000"/>
                <w:lang w:eastAsia="fr-FR"/>
              </w:rPr>
              <w:t>2855</w:t>
            </w:r>
          </w:p>
        </w:tc>
      </w:tr>
    </w:tbl>
    <w:p w14:paraId="7E58BA1F" w14:textId="77777777" w:rsidR="00EF293C" w:rsidRDefault="00EF293C" w:rsidP="00EF293C">
      <w:pPr>
        <w:jc w:val="both"/>
        <w:rPr>
          <w:rFonts w:ascii="Times New Roman" w:hAnsi="Times New Roman"/>
          <w:sz w:val="24"/>
          <w:szCs w:val="24"/>
        </w:rPr>
      </w:pPr>
    </w:p>
    <w:p w14:paraId="2CE92D46" w14:textId="77777777" w:rsidR="00EF293C" w:rsidRPr="00422229" w:rsidRDefault="00EF293C" w:rsidP="00EF293C">
      <w:pPr>
        <w:jc w:val="both"/>
        <w:rPr>
          <w:rFonts w:ascii="Times New Roman" w:hAnsi="Times New Roman"/>
          <w:sz w:val="24"/>
          <w:szCs w:val="24"/>
        </w:rPr>
      </w:pPr>
      <w:r w:rsidRPr="00422229">
        <w:rPr>
          <w:rFonts w:ascii="Times New Roman" w:hAnsi="Times New Roman"/>
          <w:sz w:val="24"/>
          <w:szCs w:val="24"/>
        </w:rPr>
        <w:t xml:space="preserve">Les </w:t>
      </w:r>
      <w:r>
        <w:rPr>
          <w:rFonts w:ascii="Times New Roman" w:hAnsi="Times New Roman"/>
          <w:sz w:val="24"/>
          <w:szCs w:val="24"/>
        </w:rPr>
        <w:t>opérations sur titre</w:t>
      </w:r>
      <w:r w:rsidRPr="00422229">
        <w:rPr>
          <w:rFonts w:ascii="Times New Roman" w:hAnsi="Times New Roman"/>
          <w:sz w:val="24"/>
          <w:szCs w:val="24"/>
        </w:rPr>
        <w:t xml:space="preserve"> enregistré</w:t>
      </w:r>
      <w:r>
        <w:rPr>
          <w:rFonts w:ascii="Times New Roman" w:hAnsi="Times New Roman"/>
          <w:sz w:val="24"/>
          <w:szCs w:val="24"/>
        </w:rPr>
        <w:t>e</w:t>
      </w:r>
      <w:r w:rsidRPr="00422229">
        <w:rPr>
          <w:rFonts w:ascii="Times New Roman" w:hAnsi="Times New Roman"/>
          <w:sz w:val="24"/>
          <w:szCs w:val="24"/>
        </w:rPr>
        <w:t>s au cours des années 2016 et 2017sont présenté</w:t>
      </w:r>
      <w:r>
        <w:rPr>
          <w:rFonts w:ascii="Times New Roman" w:hAnsi="Times New Roman"/>
          <w:sz w:val="24"/>
          <w:szCs w:val="24"/>
        </w:rPr>
        <w:t>e</w:t>
      </w:r>
      <w:r w:rsidRPr="00422229">
        <w:rPr>
          <w:rFonts w:ascii="Times New Roman" w:hAnsi="Times New Roman"/>
          <w:sz w:val="24"/>
          <w:szCs w:val="24"/>
        </w:rPr>
        <w:t xml:space="preserve">s dans le tableau ci-dessous :      </w:t>
      </w:r>
    </w:p>
    <w:p w14:paraId="087AB392" w14:textId="77777777" w:rsidR="00EF293C" w:rsidRPr="001A4C8B" w:rsidRDefault="00EF293C" w:rsidP="00EF293C">
      <w:pPr>
        <w:tabs>
          <w:tab w:val="left" w:pos="567"/>
        </w:tabs>
        <w:rPr>
          <w:rFonts w:ascii="Times New Roman" w:hAnsi="Times New Roman"/>
          <w:b/>
          <w:i/>
          <w:sz w:val="20"/>
          <w:szCs w:val="20"/>
        </w:rPr>
      </w:pPr>
      <w:r>
        <w:rPr>
          <w:rFonts w:ascii="Times New Roman" w:hAnsi="Times New Roman"/>
          <w:b/>
          <w:i/>
          <w:sz w:val="24"/>
          <w:szCs w:val="24"/>
        </w:rPr>
        <w:lastRenderedPageBreak/>
        <w:t xml:space="preserve">        </w:t>
      </w:r>
      <w:r w:rsidRPr="001A4C8B">
        <w:rPr>
          <w:rFonts w:ascii="Times New Roman" w:hAnsi="Times New Roman"/>
          <w:b/>
          <w:i/>
          <w:sz w:val="20"/>
          <w:szCs w:val="20"/>
        </w:rPr>
        <w:t>Opérations sur titre enregistrées en 2016 et 2017</w:t>
      </w:r>
    </w:p>
    <w:tbl>
      <w:tblPr>
        <w:tblStyle w:val="TableauGrille1Clair1"/>
        <w:tblW w:w="0" w:type="auto"/>
        <w:tblInd w:w="474" w:type="dxa"/>
        <w:tblLook w:val="04A0" w:firstRow="1" w:lastRow="0" w:firstColumn="1" w:lastColumn="0" w:noHBand="0" w:noVBand="1"/>
      </w:tblPr>
      <w:tblGrid>
        <w:gridCol w:w="3935"/>
        <w:gridCol w:w="1417"/>
        <w:gridCol w:w="1560"/>
      </w:tblGrid>
      <w:tr w:rsidR="00EF293C" w:rsidRPr="00EF293C" w14:paraId="302EFE44" w14:textId="77777777" w:rsidTr="00EF29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14:paraId="6647930C" w14:textId="77777777" w:rsidR="00EF293C" w:rsidRPr="00EF293C" w:rsidRDefault="00EF293C" w:rsidP="00EF293C">
            <w:pPr>
              <w:rPr>
                <w:rFonts w:ascii="Times New Roman" w:eastAsia="Times New Roman" w:hAnsi="Times New Roman"/>
                <w:lang w:eastAsia="fr-FR"/>
              </w:rPr>
            </w:pPr>
            <w:r w:rsidRPr="00EF293C">
              <w:rPr>
                <w:rFonts w:ascii="Times New Roman" w:eastAsia="Times New Roman" w:hAnsi="Times New Roman"/>
                <w:lang w:eastAsia="fr-FR"/>
              </w:rPr>
              <w:t>Nature de l’opération</w:t>
            </w:r>
          </w:p>
        </w:tc>
        <w:tc>
          <w:tcPr>
            <w:tcW w:w="1417" w:type="dxa"/>
          </w:tcPr>
          <w:p w14:paraId="62E1173D" w14:textId="77777777" w:rsidR="00EF293C" w:rsidRPr="00EF293C" w:rsidRDefault="00EF293C" w:rsidP="00EF293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2016</w:t>
            </w:r>
          </w:p>
        </w:tc>
        <w:tc>
          <w:tcPr>
            <w:tcW w:w="1560" w:type="dxa"/>
          </w:tcPr>
          <w:p w14:paraId="70455DDE" w14:textId="77777777" w:rsidR="00EF293C" w:rsidRPr="00EF293C" w:rsidRDefault="00EF293C" w:rsidP="00EF293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2017</w:t>
            </w:r>
          </w:p>
        </w:tc>
      </w:tr>
      <w:tr w:rsidR="00EF293C" w:rsidRPr="00EF293C" w14:paraId="1E2EA721"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15DD50D8"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Transformation PR en PE</w:t>
            </w:r>
          </w:p>
        </w:tc>
        <w:tc>
          <w:tcPr>
            <w:tcW w:w="1417" w:type="dxa"/>
          </w:tcPr>
          <w:p w14:paraId="667335A6"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85</w:t>
            </w:r>
          </w:p>
        </w:tc>
        <w:tc>
          <w:tcPr>
            <w:tcW w:w="1560" w:type="dxa"/>
          </w:tcPr>
          <w:p w14:paraId="6CDE1092"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85</w:t>
            </w:r>
          </w:p>
        </w:tc>
      </w:tr>
      <w:tr w:rsidR="00EF293C" w:rsidRPr="00EF293C" w14:paraId="25B7213E"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7ECE5AA7"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Transformation PR en PEPM</w:t>
            </w:r>
          </w:p>
        </w:tc>
        <w:tc>
          <w:tcPr>
            <w:tcW w:w="1417" w:type="dxa"/>
          </w:tcPr>
          <w:p w14:paraId="4D78A550"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42</w:t>
            </w:r>
          </w:p>
        </w:tc>
        <w:tc>
          <w:tcPr>
            <w:tcW w:w="1560" w:type="dxa"/>
          </w:tcPr>
          <w:p w14:paraId="286AD697"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57</w:t>
            </w:r>
          </w:p>
        </w:tc>
      </w:tr>
      <w:tr w:rsidR="00EF293C" w:rsidRPr="00EF293C" w14:paraId="2751E386"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7D831ED0"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amodiation</w:t>
            </w:r>
          </w:p>
        </w:tc>
        <w:tc>
          <w:tcPr>
            <w:tcW w:w="1417" w:type="dxa"/>
          </w:tcPr>
          <w:p w14:paraId="2A4202DB"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19</w:t>
            </w:r>
          </w:p>
        </w:tc>
        <w:tc>
          <w:tcPr>
            <w:tcW w:w="1560" w:type="dxa"/>
          </w:tcPr>
          <w:p w14:paraId="4174579C"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w:t>
            </w:r>
          </w:p>
        </w:tc>
      </w:tr>
      <w:tr w:rsidR="00EF293C" w:rsidRPr="00EF293C" w14:paraId="3868A5A6"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0B925C15"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Cession partielle</w:t>
            </w:r>
          </w:p>
        </w:tc>
        <w:tc>
          <w:tcPr>
            <w:tcW w:w="1417" w:type="dxa"/>
          </w:tcPr>
          <w:p w14:paraId="08E34149"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11</w:t>
            </w:r>
          </w:p>
        </w:tc>
        <w:tc>
          <w:tcPr>
            <w:tcW w:w="1560" w:type="dxa"/>
          </w:tcPr>
          <w:p w14:paraId="114C5514"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6</w:t>
            </w:r>
          </w:p>
        </w:tc>
      </w:tr>
      <w:tr w:rsidR="00EF293C" w:rsidRPr="00EF293C" w14:paraId="180F7002"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21A7B2CA"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Cession totale ou en cours</w:t>
            </w:r>
          </w:p>
        </w:tc>
        <w:tc>
          <w:tcPr>
            <w:tcW w:w="1417" w:type="dxa"/>
          </w:tcPr>
          <w:p w14:paraId="3982AEEC"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52</w:t>
            </w:r>
          </w:p>
        </w:tc>
        <w:tc>
          <w:tcPr>
            <w:tcW w:w="1560" w:type="dxa"/>
          </w:tcPr>
          <w:p w14:paraId="657D6EC5"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146</w:t>
            </w:r>
          </w:p>
        </w:tc>
      </w:tr>
      <w:tr w:rsidR="00EF293C" w:rsidRPr="00EF293C" w14:paraId="42408899"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2348BA8B"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Hypothèque</w:t>
            </w:r>
          </w:p>
        </w:tc>
        <w:tc>
          <w:tcPr>
            <w:tcW w:w="1417" w:type="dxa"/>
          </w:tcPr>
          <w:p w14:paraId="38293AB7"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8</w:t>
            </w:r>
          </w:p>
        </w:tc>
        <w:tc>
          <w:tcPr>
            <w:tcW w:w="1560" w:type="dxa"/>
          </w:tcPr>
          <w:p w14:paraId="20BE5E9E"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2</w:t>
            </w:r>
          </w:p>
        </w:tc>
      </w:tr>
      <w:tr w:rsidR="00EF293C" w:rsidRPr="00EF293C" w14:paraId="11B9E510" w14:textId="77777777" w:rsidTr="00EF293C">
        <w:tc>
          <w:tcPr>
            <w:cnfStyle w:val="001000000000" w:firstRow="0" w:lastRow="0" w:firstColumn="1" w:lastColumn="0" w:oddVBand="0" w:evenVBand="0" w:oddHBand="0" w:evenHBand="0" w:firstRowFirstColumn="0" w:firstRowLastColumn="0" w:lastRowFirstColumn="0" w:lastRowLastColumn="0"/>
            <w:tcW w:w="3935" w:type="dxa"/>
          </w:tcPr>
          <w:p w14:paraId="40C52E13" w14:textId="77777777" w:rsidR="00EF293C" w:rsidRPr="002942D7" w:rsidRDefault="00EF293C" w:rsidP="00EF293C">
            <w:pPr>
              <w:rPr>
                <w:rFonts w:ascii="Times New Roman" w:eastAsia="Times New Roman" w:hAnsi="Times New Roman"/>
                <w:b w:val="0"/>
                <w:lang w:eastAsia="fr-FR"/>
              </w:rPr>
            </w:pPr>
            <w:r w:rsidRPr="002942D7">
              <w:rPr>
                <w:rFonts w:ascii="Times New Roman" w:eastAsia="Times New Roman" w:hAnsi="Times New Roman"/>
                <w:b w:val="0"/>
                <w:lang w:eastAsia="fr-FR"/>
              </w:rPr>
              <w:t xml:space="preserve">Option </w:t>
            </w:r>
          </w:p>
        </w:tc>
        <w:tc>
          <w:tcPr>
            <w:tcW w:w="1417" w:type="dxa"/>
          </w:tcPr>
          <w:p w14:paraId="6785563B"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6</w:t>
            </w:r>
          </w:p>
        </w:tc>
        <w:tc>
          <w:tcPr>
            <w:tcW w:w="1560" w:type="dxa"/>
          </w:tcPr>
          <w:p w14:paraId="014A12A5" w14:textId="77777777" w:rsidR="00EF293C" w:rsidRPr="00EF293C" w:rsidRDefault="00EF293C" w:rsidP="00EF29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EF293C">
              <w:rPr>
                <w:rFonts w:ascii="Times New Roman" w:eastAsia="Times New Roman" w:hAnsi="Times New Roman"/>
                <w:lang w:eastAsia="fr-FR"/>
              </w:rPr>
              <w:t>4</w:t>
            </w:r>
          </w:p>
        </w:tc>
      </w:tr>
    </w:tbl>
    <w:p w14:paraId="2395553B" w14:textId="77777777" w:rsidR="00EF293C" w:rsidRDefault="00EF293C" w:rsidP="00EF293C">
      <w:pPr>
        <w:ind w:left="426"/>
        <w:jc w:val="both"/>
        <w:rPr>
          <w:rFonts w:ascii="Times New Roman" w:hAnsi="Times New Roman"/>
          <w:sz w:val="24"/>
          <w:szCs w:val="24"/>
        </w:rPr>
      </w:pPr>
    </w:p>
    <w:p w14:paraId="32F3832D" w14:textId="77777777" w:rsidR="00EF293C" w:rsidRPr="000C200F" w:rsidRDefault="00EF293C" w:rsidP="00EF293C">
      <w:pPr>
        <w:ind w:left="426"/>
        <w:jc w:val="both"/>
        <w:rPr>
          <w:rFonts w:ascii="Times New Roman" w:hAnsi="Times New Roman"/>
          <w:sz w:val="24"/>
          <w:szCs w:val="24"/>
        </w:rPr>
      </w:pPr>
      <w:r w:rsidRPr="000C200F">
        <w:rPr>
          <w:rFonts w:ascii="Times New Roman" w:hAnsi="Times New Roman"/>
          <w:sz w:val="24"/>
          <w:szCs w:val="24"/>
        </w:rPr>
        <w:t>A la date de publication du présent Rapport, le site web du CAMI est en construction et donc, les informations pertinentes telles que le registre de titulaires miniers ne sont pas disponibles sur le site.</w:t>
      </w:r>
    </w:p>
    <w:p w14:paraId="42FC2329" w14:textId="77777777" w:rsidR="00EF293C" w:rsidRDefault="00EF293C" w:rsidP="00EF293C">
      <w:pPr>
        <w:ind w:left="426"/>
        <w:jc w:val="both"/>
        <w:rPr>
          <w:rFonts w:ascii="Times New Roman" w:hAnsi="Times New Roman"/>
          <w:sz w:val="24"/>
          <w:szCs w:val="24"/>
        </w:rPr>
      </w:pPr>
    </w:p>
    <w:p w14:paraId="5DDDBADD" w14:textId="38480355" w:rsidR="00EF293C" w:rsidRDefault="00EF293C" w:rsidP="00EF293C">
      <w:pPr>
        <w:ind w:left="426"/>
        <w:jc w:val="both"/>
        <w:rPr>
          <w:rFonts w:ascii="Times New Roman" w:hAnsi="Times New Roman"/>
          <w:sz w:val="24"/>
          <w:szCs w:val="24"/>
        </w:rPr>
      </w:pPr>
      <w:r w:rsidRPr="000C200F">
        <w:rPr>
          <w:rFonts w:ascii="Times New Roman" w:hAnsi="Times New Roman"/>
          <w:sz w:val="24"/>
          <w:szCs w:val="24"/>
        </w:rPr>
        <w:t xml:space="preserve">Seul </w:t>
      </w:r>
      <w:r w:rsidR="00C520BA">
        <w:rPr>
          <w:rFonts w:ascii="Times New Roman" w:hAnsi="Times New Roman"/>
          <w:sz w:val="24"/>
          <w:szCs w:val="24"/>
        </w:rPr>
        <w:t>le FlexiC</w:t>
      </w:r>
      <w:r w:rsidRPr="001A4C8B">
        <w:rPr>
          <w:rFonts w:ascii="Times New Roman" w:hAnsi="Times New Roman"/>
          <w:sz w:val="24"/>
          <w:szCs w:val="24"/>
        </w:rPr>
        <w:t>adastre</w:t>
      </w:r>
      <w:r>
        <w:rPr>
          <w:rStyle w:val="Appelnotedebasdep"/>
          <w:rFonts w:ascii="Times New Roman" w:hAnsi="Times New Roman"/>
          <w:color w:val="0563C1" w:themeColor="hyperlink"/>
          <w:sz w:val="24"/>
          <w:szCs w:val="24"/>
          <w:u w:val="single"/>
        </w:rPr>
        <w:footnoteReference w:id="19"/>
      </w:r>
      <w:r w:rsidRPr="000C200F">
        <w:rPr>
          <w:rFonts w:ascii="Times New Roman" w:hAnsi="Times New Roman"/>
          <w:sz w:val="24"/>
          <w:szCs w:val="24"/>
        </w:rPr>
        <w:t xml:space="preserve"> , Système d’Information Géographique (SIG), est actif et mis à jour </w:t>
      </w:r>
      <w:r>
        <w:rPr>
          <w:rFonts w:ascii="Times New Roman" w:hAnsi="Times New Roman"/>
          <w:sz w:val="24"/>
          <w:szCs w:val="24"/>
        </w:rPr>
        <w:t xml:space="preserve">trois fois l’an, sous condition du paiement des frais y afférents. </w:t>
      </w:r>
    </w:p>
    <w:p w14:paraId="1E56A613" w14:textId="77777777" w:rsidR="00EF293C" w:rsidRPr="000C200F" w:rsidRDefault="00EF293C" w:rsidP="00EF293C">
      <w:pPr>
        <w:ind w:left="426"/>
        <w:jc w:val="both"/>
        <w:rPr>
          <w:rFonts w:ascii="Times New Roman" w:hAnsi="Times New Roman"/>
          <w:sz w:val="24"/>
          <w:szCs w:val="24"/>
        </w:rPr>
      </w:pPr>
      <w:r>
        <w:rPr>
          <w:rFonts w:ascii="Times New Roman" w:hAnsi="Times New Roman"/>
          <w:sz w:val="24"/>
          <w:szCs w:val="24"/>
        </w:rPr>
        <w:t>La recherche sur le site peut se faire par permis ou par entreprise. Les informations disponibles sont les suivantes :</w:t>
      </w:r>
    </w:p>
    <w:p w14:paraId="7D2DEF0E" w14:textId="77777777" w:rsidR="00EF293C" w:rsidRPr="00340B95" w:rsidRDefault="00EF293C" w:rsidP="000738D3">
      <w:pPr>
        <w:pStyle w:val="Paragraphedeliste"/>
        <w:numPr>
          <w:ilvl w:val="0"/>
          <w:numId w:val="32"/>
        </w:numPr>
        <w:spacing w:after="0" w:line="259" w:lineRule="auto"/>
        <w:jc w:val="both"/>
        <w:rPr>
          <w:rFonts w:ascii="Times New Roman" w:hAnsi="Times New Roman" w:cs="Times New Roman"/>
          <w:sz w:val="24"/>
          <w:szCs w:val="24"/>
        </w:rPr>
      </w:pPr>
      <w:r w:rsidRPr="00340B95">
        <w:rPr>
          <w:rFonts w:ascii="Times New Roman" w:hAnsi="Times New Roman" w:cs="Times New Roman"/>
          <w:sz w:val="24"/>
          <w:szCs w:val="24"/>
        </w:rPr>
        <w:t xml:space="preserve">la position géospatiale de tous les titres miniers actifs ou inactifs, </w:t>
      </w:r>
    </w:p>
    <w:p w14:paraId="6638E937" w14:textId="361BA990" w:rsidR="00EF293C" w:rsidRPr="000C200F" w:rsidRDefault="00EF293C" w:rsidP="000738D3">
      <w:pPr>
        <w:pStyle w:val="Paragraphedeliste"/>
        <w:numPr>
          <w:ilvl w:val="0"/>
          <w:numId w:val="32"/>
        </w:numPr>
        <w:spacing w:after="0"/>
        <w:ind w:left="426" w:firstLine="0"/>
        <w:jc w:val="both"/>
        <w:rPr>
          <w:rFonts w:ascii="Times New Roman" w:hAnsi="Times New Roman" w:cs="Times New Roman"/>
          <w:sz w:val="24"/>
          <w:szCs w:val="24"/>
        </w:rPr>
      </w:pPr>
      <w:r w:rsidRPr="000C200F">
        <w:rPr>
          <w:rFonts w:ascii="Times New Roman" w:hAnsi="Times New Roman" w:cs="Times New Roman"/>
          <w:sz w:val="24"/>
          <w:szCs w:val="24"/>
        </w:rPr>
        <w:t>le nombre de carrés</w:t>
      </w:r>
      <w:r>
        <w:rPr>
          <w:rFonts w:ascii="Times New Roman" w:hAnsi="Times New Roman" w:cs="Times New Roman"/>
          <w:sz w:val="24"/>
          <w:szCs w:val="24"/>
        </w:rPr>
        <w:t>,</w:t>
      </w:r>
    </w:p>
    <w:p w14:paraId="3057CA02" w14:textId="668A77A4"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de demande du titre</w:t>
      </w:r>
      <w:r>
        <w:rPr>
          <w:rFonts w:ascii="Times New Roman" w:hAnsi="Times New Roman" w:cs="Times New Roman"/>
          <w:sz w:val="24"/>
          <w:szCs w:val="24"/>
        </w:rPr>
        <w:t>,</w:t>
      </w:r>
    </w:p>
    <w:p w14:paraId="32ED7F33" w14:textId="77777777"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d’octroi du titre</w:t>
      </w:r>
      <w:r>
        <w:rPr>
          <w:rFonts w:ascii="Times New Roman" w:hAnsi="Times New Roman" w:cs="Times New Roman"/>
          <w:sz w:val="24"/>
          <w:szCs w:val="24"/>
        </w:rPr>
        <w:t>,</w:t>
      </w:r>
    </w:p>
    <w:p w14:paraId="5C35A483" w14:textId="03A79852"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la date d’expiration  du titre</w:t>
      </w:r>
      <w:r>
        <w:rPr>
          <w:rFonts w:ascii="Times New Roman" w:hAnsi="Times New Roman" w:cs="Times New Roman"/>
          <w:sz w:val="24"/>
          <w:szCs w:val="24"/>
        </w:rPr>
        <w:t>,</w:t>
      </w:r>
    </w:p>
    <w:p w14:paraId="10F51F64" w14:textId="05B6EA44"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substances exploitées</w:t>
      </w:r>
      <w:r>
        <w:rPr>
          <w:rFonts w:ascii="Times New Roman" w:hAnsi="Times New Roman" w:cs="Times New Roman"/>
          <w:sz w:val="24"/>
          <w:szCs w:val="24"/>
        </w:rPr>
        <w:t>,</w:t>
      </w:r>
    </w:p>
    <w:p w14:paraId="26C20517" w14:textId="77777777"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zones d’exploitation artisanales, interdites et protégées</w:t>
      </w:r>
      <w:r>
        <w:rPr>
          <w:rFonts w:ascii="Times New Roman" w:hAnsi="Times New Roman" w:cs="Times New Roman"/>
          <w:sz w:val="24"/>
          <w:szCs w:val="24"/>
        </w:rPr>
        <w:t>,</w:t>
      </w:r>
    </w:p>
    <w:p w14:paraId="7C49FAF3" w14:textId="2216F9CA" w:rsidR="00EF293C" w:rsidRPr="000C200F" w:rsidRDefault="00EF293C" w:rsidP="000738D3">
      <w:pPr>
        <w:pStyle w:val="Paragraphedeliste"/>
        <w:numPr>
          <w:ilvl w:val="0"/>
          <w:numId w:val="30"/>
        </w:numPr>
        <w:ind w:left="426" w:firstLine="0"/>
        <w:jc w:val="both"/>
        <w:rPr>
          <w:rFonts w:ascii="Times New Roman" w:hAnsi="Times New Roman" w:cs="Times New Roman"/>
          <w:sz w:val="24"/>
          <w:szCs w:val="24"/>
        </w:rPr>
      </w:pPr>
      <w:r w:rsidRPr="000C200F">
        <w:rPr>
          <w:rFonts w:ascii="Times New Roman" w:hAnsi="Times New Roman" w:cs="Times New Roman"/>
          <w:sz w:val="24"/>
          <w:szCs w:val="24"/>
        </w:rPr>
        <w:t>les types de permis (</w:t>
      </w:r>
      <w:r>
        <w:rPr>
          <w:rFonts w:ascii="Times New Roman" w:hAnsi="Times New Roman" w:cs="Times New Roman"/>
          <w:sz w:val="24"/>
          <w:szCs w:val="24"/>
        </w:rPr>
        <w:t>ou « </w:t>
      </w:r>
      <w:r w:rsidRPr="000C200F">
        <w:rPr>
          <w:rFonts w:ascii="Times New Roman" w:hAnsi="Times New Roman" w:cs="Times New Roman"/>
          <w:sz w:val="24"/>
          <w:szCs w:val="24"/>
        </w:rPr>
        <w:t>demandes</w:t>
      </w:r>
      <w:r>
        <w:rPr>
          <w:rFonts w:ascii="Times New Roman" w:hAnsi="Times New Roman" w:cs="Times New Roman"/>
          <w:sz w:val="24"/>
          <w:szCs w:val="24"/>
        </w:rPr>
        <w:t xml:space="preserve"> » tel qu’intitulé dans </w:t>
      </w:r>
      <w:r w:rsidR="00691D72">
        <w:rPr>
          <w:rFonts w:ascii="Times New Roman" w:hAnsi="Times New Roman" w:cs="Times New Roman"/>
          <w:sz w:val="24"/>
          <w:szCs w:val="24"/>
        </w:rPr>
        <w:t>F</w:t>
      </w:r>
      <w:r w:rsidR="00C520BA">
        <w:rPr>
          <w:rFonts w:ascii="Times New Roman" w:hAnsi="Times New Roman" w:cs="Times New Roman"/>
          <w:sz w:val="24"/>
          <w:szCs w:val="24"/>
        </w:rPr>
        <w:t>lexiC</w:t>
      </w:r>
      <w:r>
        <w:rPr>
          <w:rFonts w:ascii="Times New Roman" w:hAnsi="Times New Roman" w:cs="Times New Roman"/>
          <w:sz w:val="24"/>
          <w:szCs w:val="24"/>
        </w:rPr>
        <w:t>adastre</w:t>
      </w:r>
      <w:r w:rsidRPr="000C200F">
        <w:rPr>
          <w:rFonts w:ascii="Times New Roman" w:hAnsi="Times New Roman" w:cs="Times New Roman"/>
          <w:sz w:val="24"/>
          <w:szCs w:val="24"/>
        </w:rPr>
        <w:t>)</w:t>
      </w:r>
    </w:p>
    <w:p w14:paraId="3D2D33F0" w14:textId="0B855B35" w:rsidR="00EF293C" w:rsidRPr="00EF293C" w:rsidRDefault="00EF293C" w:rsidP="00EF293C">
      <w:pPr>
        <w:ind w:left="426"/>
        <w:jc w:val="both"/>
        <w:rPr>
          <w:rFonts w:ascii="Times New Roman" w:hAnsi="Times New Roman"/>
          <w:color w:val="404040" w:themeColor="text1" w:themeTint="BF"/>
          <w:sz w:val="24"/>
          <w:szCs w:val="24"/>
        </w:rPr>
      </w:pPr>
      <w:r>
        <w:rPr>
          <w:rFonts w:ascii="Times New Roman" w:hAnsi="Times New Roman"/>
          <w:sz w:val="24"/>
          <w:szCs w:val="24"/>
        </w:rPr>
        <w:t>T</w:t>
      </w:r>
      <w:r w:rsidRPr="000C200F">
        <w:rPr>
          <w:rFonts w:ascii="Times New Roman" w:hAnsi="Times New Roman"/>
          <w:sz w:val="24"/>
          <w:szCs w:val="24"/>
        </w:rPr>
        <w:t>outes ces informations ne sont pas présentées sous format données ouvertes</w:t>
      </w:r>
      <w:r>
        <w:rPr>
          <w:rFonts w:ascii="Times New Roman" w:hAnsi="Times New Roman"/>
          <w:sz w:val="24"/>
          <w:szCs w:val="24"/>
        </w:rPr>
        <w:t xml:space="preserve"> </w:t>
      </w:r>
      <w:r w:rsidRPr="00EF293C">
        <w:rPr>
          <w:rFonts w:ascii="Times New Roman" w:hAnsi="Times New Roman"/>
          <w:color w:val="404040" w:themeColor="text1" w:themeTint="BF"/>
          <w:sz w:val="24"/>
          <w:szCs w:val="24"/>
        </w:rPr>
        <w:t>et ne peuvent donc pas être téléchargées.</w:t>
      </w:r>
    </w:p>
    <w:p w14:paraId="0A2E5B2D" w14:textId="7A8EA024" w:rsidR="00EF293C" w:rsidRPr="005A079D" w:rsidRDefault="00C520BA" w:rsidP="00EF293C">
      <w:pPr>
        <w:ind w:left="426"/>
        <w:jc w:val="both"/>
        <w:rPr>
          <w:rFonts w:ascii="Times New Roman" w:hAnsi="Times New Roman"/>
          <w:sz w:val="24"/>
          <w:szCs w:val="24"/>
        </w:rPr>
      </w:pPr>
      <w:r>
        <w:rPr>
          <w:rFonts w:ascii="Times New Roman" w:hAnsi="Times New Roman"/>
          <w:noProof/>
          <w:lang w:eastAsia="fr-FR"/>
        </w:rPr>
        <mc:AlternateContent>
          <mc:Choice Requires="wps">
            <w:drawing>
              <wp:anchor distT="0" distB="0" distL="114300" distR="114300" simplePos="0" relativeHeight="251674624" behindDoc="0" locked="0" layoutInCell="1" allowOverlap="1" wp14:anchorId="05705CE1" wp14:editId="74E0095B">
                <wp:simplePos x="0" y="0"/>
                <wp:positionH relativeFrom="margin">
                  <wp:posOffset>-2327</wp:posOffset>
                </wp:positionH>
                <wp:positionV relativeFrom="paragraph">
                  <wp:posOffset>467783</wp:posOffset>
                </wp:positionV>
                <wp:extent cx="6324600" cy="1871133"/>
                <wp:effectExtent l="0" t="0" r="19050" b="15240"/>
                <wp:wrapNone/>
                <wp:docPr id="23" name="Zone de texte 23"/>
                <wp:cNvGraphicFramePr/>
                <a:graphic xmlns:a="http://schemas.openxmlformats.org/drawingml/2006/main">
                  <a:graphicData uri="http://schemas.microsoft.com/office/word/2010/wordprocessingShape">
                    <wps:wsp>
                      <wps:cNvSpPr txBox="1"/>
                      <wps:spPr>
                        <a:xfrm>
                          <a:off x="0" y="0"/>
                          <a:ext cx="6324600" cy="18711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2C1C484" w14:textId="723C31C9" w:rsidR="00553BF2" w:rsidRPr="002942D7" w:rsidRDefault="00553BF2" w:rsidP="00C520BA">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w:t>
                            </w:r>
                            <w:r w:rsidRPr="002942D7">
                              <w:rPr>
                                <w:rFonts w:ascii="Times New Roman" w:eastAsia="Times New Roman" w:hAnsi="Times New Roman"/>
                                <w:b/>
                                <w:color w:val="002060"/>
                                <w:sz w:val="24"/>
                                <w:szCs w:val="24"/>
                                <w:u w:val="single"/>
                                <w:lang w:eastAsia="fr-FR"/>
                              </w:rPr>
                              <w:t>ons</w:t>
                            </w:r>
                            <w:r w:rsidRPr="002942D7">
                              <w:rPr>
                                <w:rFonts w:ascii="Times New Roman" w:eastAsia="Times New Roman" w:hAnsi="Times New Roman"/>
                                <w:b/>
                                <w:color w:val="002060"/>
                                <w:sz w:val="24"/>
                                <w:szCs w:val="24"/>
                                <w:lang w:eastAsia="fr-FR"/>
                              </w:rPr>
                              <w:t xml:space="preserve"> :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4</w:t>
                            </w:r>
                            <w:r w:rsidRPr="00F32693">
                              <w:rPr>
                                <w:rFonts w:ascii="Times New Roman" w:hAnsi="Times New Roman"/>
                                <w:i/>
                                <w:color w:val="44546A" w:themeColor="text2"/>
                                <w:sz w:val="24"/>
                                <w:szCs w:val="24"/>
                              </w:rPr>
                              <w:t>)</w:t>
                            </w:r>
                          </w:p>
                          <w:p w14:paraId="3E9CE47A" w14:textId="77777777" w:rsidR="00553BF2" w:rsidRDefault="00553BF2" w:rsidP="00C520BA">
                            <w:pPr>
                              <w:spacing w:after="0" w:line="240" w:lineRule="auto"/>
                              <w:jc w:val="both"/>
                              <w:rPr>
                                <w:rFonts w:ascii="Times New Roman" w:eastAsia="Times New Roman" w:hAnsi="Times New Roman"/>
                                <w:color w:val="000000"/>
                                <w:sz w:val="24"/>
                                <w:szCs w:val="24"/>
                                <w:lang w:eastAsia="fr-FR"/>
                              </w:rPr>
                            </w:pPr>
                          </w:p>
                          <w:p w14:paraId="23F60512" w14:textId="77777777" w:rsidR="00553BF2" w:rsidRDefault="00553BF2" w:rsidP="00C520BA">
                            <w:pPr>
                              <w:spacing w:after="0" w:line="240" w:lineRule="auto"/>
                              <w:jc w:val="both"/>
                              <w:rPr>
                                <w:rFonts w:ascii="Times New Roman" w:eastAsia="Times New Roman" w:hAnsi="Times New Roman"/>
                                <w:b/>
                                <w:color w:val="000000"/>
                                <w:sz w:val="24"/>
                                <w:szCs w:val="24"/>
                                <w:lang w:eastAsia="fr-FR"/>
                              </w:rPr>
                            </w:pPr>
                            <w:r w:rsidRPr="007B7A34">
                              <w:rPr>
                                <w:rFonts w:ascii="Times New Roman" w:eastAsia="Times New Roman" w:hAnsi="Times New Roman"/>
                                <w:b/>
                                <w:color w:val="000000"/>
                                <w:sz w:val="24"/>
                                <w:szCs w:val="24"/>
                                <w:lang w:eastAsia="fr-FR"/>
                              </w:rPr>
                              <w:t xml:space="preserve">Au CAMI </w:t>
                            </w:r>
                            <w:r>
                              <w:rPr>
                                <w:rFonts w:ascii="Times New Roman" w:eastAsia="Times New Roman" w:hAnsi="Times New Roman"/>
                                <w:b/>
                                <w:color w:val="000000"/>
                                <w:sz w:val="24"/>
                                <w:szCs w:val="24"/>
                                <w:lang w:eastAsia="fr-FR"/>
                              </w:rPr>
                              <w:t xml:space="preserve">de </w:t>
                            </w:r>
                            <w:r w:rsidRPr="007B7A34">
                              <w:rPr>
                                <w:rFonts w:ascii="Times New Roman" w:eastAsia="Times New Roman" w:hAnsi="Times New Roman"/>
                                <w:b/>
                                <w:color w:val="000000"/>
                                <w:sz w:val="24"/>
                                <w:szCs w:val="24"/>
                                <w:lang w:eastAsia="fr-FR"/>
                              </w:rPr>
                              <w:t>:</w:t>
                            </w:r>
                          </w:p>
                          <w:p w14:paraId="302D5AD5" w14:textId="77777777" w:rsidR="00553BF2" w:rsidRPr="007B7A3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 xml:space="preserve">accélérer et de finaliser les travaux </w:t>
                            </w:r>
                            <w:r>
                              <w:rPr>
                                <w:rFonts w:ascii="Times New Roman" w:eastAsia="Times New Roman" w:hAnsi="Times New Roman" w:cs="Times New Roman"/>
                                <w:color w:val="000000"/>
                                <w:sz w:val="24"/>
                                <w:szCs w:val="24"/>
                                <w:lang w:eastAsia="fr-FR"/>
                              </w:rPr>
                              <w:t>de construction</w:t>
                            </w:r>
                            <w:r w:rsidRPr="007B7A34">
                              <w:rPr>
                                <w:rFonts w:ascii="Times New Roman" w:eastAsia="Times New Roman" w:hAnsi="Times New Roman" w:cs="Times New Roman"/>
                                <w:color w:val="000000"/>
                                <w:sz w:val="24"/>
                                <w:szCs w:val="24"/>
                                <w:lang w:eastAsia="fr-FR"/>
                              </w:rPr>
                              <w:t xml:space="preserve"> de son site pour permettre </w:t>
                            </w:r>
                            <w:r>
                              <w:rPr>
                                <w:rFonts w:ascii="Times New Roman" w:eastAsia="Times New Roman" w:hAnsi="Times New Roman" w:cs="Times New Roman"/>
                                <w:color w:val="000000"/>
                                <w:sz w:val="24"/>
                                <w:szCs w:val="24"/>
                                <w:lang w:eastAsia="fr-FR"/>
                              </w:rPr>
                              <w:t>au public</w:t>
                            </w:r>
                            <w:r w:rsidRPr="007B7A34">
                              <w:rPr>
                                <w:rFonts w:ascii="Times New Roman" w:eastAsia="Times New Roman" w:hAnsi="Times New Roman" w:cs="Times New Roman"/>
                                <w:color w:val="000000"/>
                                <w:sz w:val="24"/>
                                <w:szCs w:val="24"/>
                                <w:lang w:eastAsia="fr-FR"/>
                              </w:rPr>
                              <w:t xml:space="preserve"> de consulter les informations dont les liens ont été orientés vers ce site ;</w:t>
                            </w:r>
                          </w:p>
                          <w:p w14:paraId="5702684E" w14:textId="77777777" w:rsidR="00553BF2" w:rsidRPr="007B7A3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compléter les NIF qui manquent</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pour certain</w:t>
                            </w:r>
                            <w:r>
                              <w:rPr>
                                <w:rFonts w:ascii="Times New Roman" w:eastAsia="Times New Roman" w:hAnsi="Times New Roman" w:cs="Times New Roman"/>
                                <w:color w:val="000000"/>
                                <w:sz w:val="24"/>
                                <w:szCs w:val="24"/>
                                <w:lang w:eastAsia="fr-FR"/>
                              </w:rPr>
                              <w:t>s titulaires des droits miniers ;</w:t>
                            </w:r>
                          </w:p>
                          <w:p w14:paraId="12686AC1" w14:textId="77777777" w:rsidR="00553BF2" w:rsidRPr="0085529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présenter</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les droits miniers</w:t>
                            </w:r>
                            <w:r>
                              <w:rPr>
                                <w:rFonts w:ascii="Times New Roman" w:eastAsia="Times New Roman" w:hAnsi="Times New Roman" w:cs="Times New Roman"/>
                                <w:color w:val="000000"/>
                                <w:sz w:val="24"/>
                                <w:szCs w:val="24"/>
                                <w:lang w:eastAsia="fr-FR"/>
                              </w:rPr>
                              <w:t xml:space="preserve"> octroyés</w:t>
                            </w:r>
                            <w:r w:rsidRPr="007B7A34">
                              <w:rPr>
                                <w:rFonts w:ascii="Times New Roman" w:eastAsia="Times New Roman" w:hAnsi="Times New Roman" w:cs="Times New Roman"/>
                                <w:color w:val="000000"/>
                                <w:sz w:val="24"/>
                                <w:szCs w:val="24"/>
                                <w:lang w:eastAsia="fr-FR"/>
                              </w:rPr>
                              <w:t xml:space="preserve"> par province</w:t>
                            </w:r>
                            <w:r>
                              <w:rPr>
                                <w:rFonts w:ascii="Times New Roman" w:eastAsia="Times New Roman" w:hAnsi="Times New Roman" w:cs="Times New Roman"/>
                                <w:color w:val="000000"/>
                                <w:sz w:val="24"/>
                                <w:szCs w:val="24"/>
                                <w:lang w:eastAsia="fr-FR"/>
                              </w:rPr>
                              <w:t>, suivant</w:t>
                            </w:r>
                            <w:r w:rsidRPr="007B7A34">
                              <w:rPr>
                                <w:rFonts w:ascii="Times New Roman" w:eastAsia="Times New Roman" w:hAnsi="Times New Roman" w:cs="Times New Roman"/>
                                <w:color w:val="000000"/>
                                <w:sz w:val="24"/>
                                <w:szCs w:val="24"/>
                                <w:lang w:eastAsia="fr-FR"/>
                              </w:rPr>
                              <w:t xml:space="preserve"> la configuration</w:t>
                            </w:r>
                            <w:r>
                              <w:rPr>
                                <w:rFonts w:ascii="Times New Roman" w:eastAsia="Times New Roman" w:hAnsi="Times New Roman" w:cs="Times New Roman"/>
                                <w:color w:val="000000"/>
                                <w:sz w:val="24"/>
                                <w:szCs w:val="24"/>
                                <w:lang w:eastAsia="fr-FR"/>
                              </w:rPr>
                              <w:t xml:space="preserve"> administrative actuelle ;</w:t>
                            </w:r>
                          </w:p>
                          <w:p w14:paraId="4AD42F9A" w14:textId="470400CC" w:rsidR="00553BF2"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rendre exploitables les données du </w:t>
                            </w:r>
                            <w:proofErr w:type="spellStart"/>
                            <w:r>
                              <w:rPr>
                                <w:rFonts w:ascii="Times New Roman" w:eastAsia="Times New Roman" w:hAnsi="Times New Roman" w:cs="Times New Roman"/>
                                <w:color w:val="000000"/>
                                <w:sz w:val="24"/>
                                <w:szCs w:val="24"/>
                                <w:lang w:eastAsia="fr-FR"/>
                              </w:rPr>
                              <w:t>FlexiCadastre</w:t>
                            </w:r>
                            <w:proofErr w:type="spellEnd"/>
                            <w:r>
                              <w:rPr>
                                <w:rFonts w:ascii="Times New Roman" w:eastAsia="Times New Roman" w:hAnsi="Times New Roman" w:cs="Times New Roman"/>
                                <w:color w:val="000000"/>
                                <w:sz w:val="24"/>
                                <w:szCs w:val="24"/>
                                <w:lang w:eastAsia="fr-FR"/>
                              </w:rPr>
                              <w:t xml:space="preserve"> en les présentant sous format données ouvertes.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05CE1" id="Zone de texte 23" o:spid="_x0000_s1027" type="#_x0000_t202" style="position:absolute;left:0;text-align:left;margin-left:-.2pt;margin-top:36.85pt;width:498pt;height:147.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" fillcolor="#deeaf6 [660]" strokecolor="#deeaf6 [660]" strokeweight=".5pt">
                <v:textbox>
                  <w:txbxContent>
                    <w:p w14:paraId="62C1C484" w14:textId="723C31C9" w:rsidR="00553BF2" w:rsidRPr="002942D7" w:rsidRDefault="00553BF2" w:rsidP="00C520BA">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w:t>
                      </w:r>
                      <w:r w:rsidRPr="002942D7">
                        <w:rPr>
                          <w:rFonts w:ascii="Times New Roman" w:eastAsia="Times New Roman" w:hAnsi="Times New Roman"/>
                          <w:b/>
                          <w:color w:val="002060"/>
                          <w:sz w:val="24"/>
                          <w:szCs w:val="24"/>
                          <w:u w:val="single"/>
                          <w:lang w:eastAsia="fr-FR"/>
                        </w:rPr>
                        <w:t>ons</w:t>
                      </w:r>
                      <w:r w:rsidRPr="002942D7">
                        <w:rPr>
                          <w:rFonts w:ascii="Times New Roman" w:eastAsia="Times New Roman" w:hAnsi="Times New Roman"/>
                          <w:b/>
                          <w:color w:val="002060"/>
                          <w:sz w:val="24"/>
                          <w:szCs w:val="24"/>
                          <w:lang w:eastAsia="fr-FR"/>
                        </w:rPr>
                        <w:t xml:space="preserve"> :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4</w:t>
                      </w:r>
                      <w:r w:rsidRPr="00F32693">
                        <w:rPr>
                          <w:rFonts w:ascii="Times New Roman" w:hAnsi="Times New Roman"/>
                          <w:i/>
                          <w:color w:val="44546A" w:themeColor="text2"/>
                          <w:sz w:val="24"/>
                          <w:szCs w:val="24"/>
                        </w:rPr>
                        <w:t>)</w:t>
                      </w:r>
                    </w:p>
                    <w:p w14:paraId="3E9CE47A" w14:textId="77777777" w:rsidR="00553BF2" w:rsidRDefault="00553BF2" w:rsidP="00C520BA">
                      <w:pPr>
                        <w:spacing w:after="0" w:line="240" w:lineRule="auto"/>
                        <w:jc w:val="both"/>
                        <w:rPr>
                          <w:rFonts w:ascii="Times New Roman" w:eastAsia="Times New Roman" w:hAnsi="Times New Roman"/>
                          <w:color w:val="000000"/>
                          <w:sz w:val="24"/>
                          <w:szCs w:val="24"/>
                          <w:lang w:eastAsia="fr-FR"/>
                        </w:rPr>
                      </w:pPr>
                    </w:p>
                    <w:p w14:paraId="23F60512" w14:textId="77777777" w:rsidR="00553BF2" w:rsidRDefault="00553BF2" w:rsidP="00C520BA">
                      <w:pPr>
                        <w:spacing w:after="0" w:line="240" w:lineRule="auto"/>
                        <w:jc w:val="both"/>
                        <w:rPr>
                          <w:rFonts w:ascii="Times New Roman" w:eastAsia="Times New Roman" w:hAnsi="Times New Roman"/>
                          <w:b/>
                          <w:color w:val="000000"/>
                          <w:sz w:val="24"/>
                          <w:szCs w:val="24"/>
                          <w:lang w:eastAsia="fr-FR"/>
                        </w:rPr>
                      </w:pPr>
                      <w:r w:rsidRPr="007B7A34">
                        <w:rPr>
                          <w:rFonts w:ascii="Times New Roman" w:eastAsia="Times New Roman" w:hAnsi="Times New Roman"/>
                          <w:b/>
                          <w:color w:val="000000"/>
                          <w:sz w:val="24"/>
                          <w:szCs w:val="24"/>
                          <w:lang w:eastAsia="fr-FR"/>
                        </w:rPr>
                        <w:t xml:space="preserve">Au CAMI </w:t>
                      </w:r>
                      <w:r>
                        <w:rPr>
                          <w:rFonts w:ascii="Times New Roman" w:eastAsia="Times New Roman" w:hAnsi="Times New Roman"/>
                          <w:b/>
                          <w:color w:val="000000"/>
                          <w:sz w:val="24"/>
                          <w:szCs w:val="24"/>
                          <w:lang w:eastAsia="fr-FR"/>
                        </w:rPr>
                        <w:t xml:space="preserve">de </w:t>
                      </w:r>
                      <w:r w:rsidRPr="007B7A34">
                        <w:rPr>
                          <w:rFonts w:ascii="Times New Roman" w:eastAsia="Times New Roman" w:hAnsi="Times New Roman"/>
                          <w:b/>
                          <w:color w:val="000000"/>
                          <w:sz w:val="24"/>
                          <w:szCs w:val="24"/>
                          <w:lang w:eastAsia="fr-FR"/>
                        </w:rPr>
                        <w:t>:</w:t>
                      </w:r>
                    </w:p>
                    <w:p w14:paraId="302D5AD5" w14:textId="77777777" w:rsidR="00553BF2" w:rsidRPr="007B7A3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 xml:space="preserve">accélérer et de finaliser les travaux </w:t>
                      </w:r>
                      <w:r>
                        <w:rPr>
                          <w:rFonts w:ascii="Times New Roman" w:eastAsia="Times New Roman" w:hAnsi="Times New Roman" w:cs="Times New Roman"/>
                          <w:color w:val="000000"/>
                          <w:sz w:val="24"/>
                          <w:szCs w:val="24"/>
                          <w:lang w:eastAsia="fr-FR"/>
                        </w:rPr>
                        <w:t>de construction</w:t>
                      </w:r>
                      <w:r w:rsidRPr="007B7A34">
                        <w:rPr>
                          <w:rFonts w:ascii="Times New Roman" w:eastAsia="Times New Roman" w:hAnsi="Times New Roman" w:cs="Times New Roman"/>
                          <w:color w:val="000000"/>
                          <w:sz w:val="24"/>
                          <w:szCs w:val="24"/>
                          <w:lang w:eastAsia="fr-FR"/>
                        </w:rPr>
                        <w:t xml:space="preserve"> de son site pour permettre </w:t>
                      </w:r>
                      <w:r>
                        <w:rPr>
                          <w:rFonts w:ascii="Times New Roman" w:eastAsia="Times New Roman" w:hAnsi="Times New Roman" w:cs="Times New Roman"/>
                          <w:color w:val="000000"/>
                          <w:sz w:val="24"/>
                          <w:szCs w:val="24"/>
                          <w:lang w:eastAsia="fr-FR"/>
                        </w:rPr>
                        <w:t>au public</w:t>
                      </w:r>
                      <w:r w:rsidRPr="007B7A34">
                        <w:rPr>
                          <w:rFonts w:ascii="Times New Roman" w:eastAsia="Times New Roman" w:hAnsi="Times New Roman" w:cs="Times New Roman"/>
                          <w:color w:val="000000"/>
                          <w:sz w:val="24"/>
                          <w:szCs w:val="24"/>
                          <w:lang w:eastAsia="fr-FR"/>
                        </w:rPr>
                        <w:t xml:space="preserve"> de consulter les informations dont les liens ont été orientés vers ce site ;</w:t>
                      </w:r>
                    </w:p>
                    <w:p w14:paraId="5702684E" w14:textId="77777777" w:rsidR="00553BF2" w:rsidRPr="007B7A3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compléter les NIF qui manquent</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pour certain</w:t>
                      </w:r>
                      <w:r>
                        <w:rPr>
                          <w:rFonts w:ascii="Times New Roman" w:eastAsia="Times New Roman" w:hAnsi="Times New Roman" w:cs="Times New Roman"/>
                          <w:color w:val="000000"/>
                          <w:sz w:val="24"/>
                          <w:szCs w:val="24"/>
                          <w:lang w:eastAsia="fr-FR"/>
                        </w:rPr>
                        <w:t>s titulaires des droits miniers ;</w:t>
                      </w:r>
                    </w:p>
                    <w:p w14:paraId="12686AC1" w14:textId="77777777" w:rsidR="00553BF2" w:rsidRPr="00855294"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sidRPr="007B7A34">
                        <w:rPr>
                          <w:rFonts w:ascii="Times New Roman" w:eastAsia="Times New Roman" w:hAnsi="Times New Roman" w:cs="Times New Roman"/>
                          <w:color w:val="000000"/>
                          <w:sz w:val="24"/>
                          <w:szCs w:val="24"/>
                          <w:lang w:eastAsia="fr-FR"/>
                        </w:rPr>
                        <w:t>présenter</w:t>
                      </w:r>
                      <w:r>
                        <w:rPr>
                          <w:rFonts w:ascii="Times New Roman" w:eastAsia="Times New Roman" w:hAnsi="Times New Roman" w:cs="Times New Roman"/>
                          <w:color w:val="000000"/>
                          <w:sz w:val="24"/>
                          <w:szCs w:val="24"/>
                          <w:lang w:eastAsia="fr-FR"/>
                        </w:rPr>
                        <w:t xml:space="preserve"> dans le Registre</w:t>
                      </w:r>
                      <w:r w:rsidRPr="007B7A34">
                        <w:rPr>
                          <w:rFonts w:ascii="Times New Roman" w:eastAsia="Times New Roman" w:hAnsi="Times New Roman" w:cs="Times New Roman"/>
                          <w:color w:val="000000"/>
                          <w:sz w:val="24"/>
                          <w:szCs w:val="24"/>
                          <w:lang w:eastAsia="fr-FR"/>
                        </w:rPr>
                        <w:t xml:space="preserve"> les droits miniers</w:t>
                      </w:r>
                      <w:r>
                        <w:rPr>
                          <w:rFonts w:ascii="Times New Roman" w:eastAsia="Times New Roman" w:hAnsi="Times New Roman" w:cs="Times New Roman"/>
                          <w:color w:val="000000"/>
                          <w:sz w:val="24"/>
                          <w:szCs w:val="24"/>
                          <w:lang w:eastAsia="fr-FR"/>
                        </w:rPr>
                        <w:t xml:space="preserve"> octroyés</w:t>
                      </w:r>
                      <w:r w:rsidRPr="007B7A34">
                        <w:rPr>
                          <w:rFonts w:ascii="Times New Roman" w:eastAsia="Times New Roman" w:hAnsi="Times New Roman" w:cs="Times New Roman"/>
                          <w:color w:val="000000"/>
                          <w:sz w:val="24"/>
                          <w:szCs w:val="24"/>
                          <w:lang w:eastAsia="fr-FR"/>
                        </w:rPr>
                        <w:t xml:space="preserve"> par province</w:t>
                      </w:r>
                      <w:r>
                        <w:rPr>
                          <w:rFonts w:ascii="Times New Roman" w:eastAsia="Times New Roman" w:hAnsi="Times New Roman" w:cs="Times New Roman"/>
                          <w:color w:val="000000"/>
                          <w:sz w:val="24"/>
                          <w:szCs w:val="24"/>
                          <w:lang w:eastAsia="fr-FR"/>
                        </w:rPr>
                        <w:t>, suivant</w:t>
                      </w:r>
                      <w:r w:rsidRPr="007B7A34">
                        <w:rPr>
                          <w:rFonts w:ascii="Times New Roman" w:eastAsia="Times New Roman" w:hAnsi="Times New Roman" w:cs="Times New Roman"/>
                          <w:color w:val="000000"/>
                          <w:sz w:val="24"/>
                          <w:szCs w:val="24"/>
                          <w:lang w:eastAsia="fr-FR"/>
                        </w:rPr>
                        <w:t xml:space="preserve"> la configuration</w:t>
                      </w:r>
                      <w:r>
                        <w:rPr>
                          <w:rFonts w:ascii="Times New Roman" w:eastAsia="Times New Roman" w:hAnsi="Times New Roman" w:cs="Times New Roman"/>
                          <w:color w:val="000000"/>
                          <w:sz w:val="24"/>
                          <w:szCs w:val="24"/>
                          <w:lang w:eastAsia="fr-FR"/>
                        </w:rPr>
                        <w:t xml:space="preserve"> administrative actuelle ;</w:t>
                      </w:r>
                    </w:p>
                    <w:p w14:paraId="4AD42F9A" w14:textId="470400CC" w:rsidR="00553BF2" w:rsidRDefault="00553BF2" w:rsidP="00C520BA">
                      <w:pPr>
                        <w:pStyle w:val="Paragraphedeliste"/>
                        <w:numPr>
                          <w:ilvl w:val="0"/>
                          <w:numId w:val="58"/>
                        </w:numPr>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rendre exploitables les données du </w:t>
                      </w:r>
                      <w:proofErr w:type="spellStart"/>
                      <w:r>
                        <w:rPr>
                          <w:rFonts w:ascii="Times New Roman" w:eastAsia="Times New Roman" w:hAnsi="Times New Roman" w:cs="Times New Roman"/>
                          <w:color w:val="000000"/>
                          <w:sz w:val="24"/>
                          <w:szCs w:val="24"/>
                          <w:lang w:eastAsia="fr-FR"/>
                        </w:rPr>
                        <w:t>FlexiCadastre</w:t>
                      </w:r>
                      <w:proofErr w:type="spellEnd"/>
                      <w:r>
                        <w:rPr>
                          <w:rFonts w:ascii="Times New Roman" w:eastAsia="Times New Roman" w:hAnsi="Times New Roman" w:cs="Times New Roman"/>
                          <w:color w:val="000000"/>
                          <w:sz w:val="24"/>
                          <w:szCs w:val="24"/>
                          <w:lang w:eastAsia="fr-FR"/>
                        </w:rPr>
                        <w:t xml:space="preserve"> en les présentant sous format données ouvertes.</w:t>
                      </w:r>
                    </w:p>
                  </w:txbxContent>
                </v:textbox>
                <w10:wrap anchorx="margin"/>
              </v:shape>
            </w:pict>
          </mc:Fallback>
        </mc:AlternateContent>
      </w:r>
      <w:r w:rsidR="00EF293C" w:rsidRPr="005A079D">
        <w:rPr>
          <w:rFonts w:ascii="Times New Roman" w:hAnsi="Times New Roman"/>
          <w:sz w:val="24"/>
          <w:szCs w:val="24"/>
        </w:rPr>
        <w:t xml:space="preserve">Les nouvelles provinces n’étant pas encore configurées dans le FlexiCadastre, le registre donne la répartition des droits miniers par province </w:t>
      </w:r>
      <w:r w:rsidR="00EF293C">
        <w:rPr>
          <w:rFonts w:ascii="Times New Roman" w:hAnsi="Times New Roman"/>
          <w:sz w:val="24"/>
          <w:szCs w:val="24"/>
        </w:rPr>
        <w:t>dans l’ancienne configuration (</w:t>
      </w:r>
      <w:r w:rsidR="00EF293C" w:rsidRPr="005A079D">
        <w:rPr>
          <w:rFonts w:ascii="Times New Roman" w:hAnsi="Times New Roman"/>
          <w:sz w:val="24"/>
          <w:szCs w:val="24"/>
        </w:rPr>
        <w:t>avant le découpage</w:t>
      </w:r>
      <w:r w:rsidR="00EF293C">
        <w:rPr>
          <w:rFonts w:ascii="Times New Roman" w:hAnsi="Times New Roman"/>
          <w:sz w:val="24"/>
          <w:szCs w:val="24"/>
        </w:rPr>
        <w:t>)</w:t>
      </w:r>
      <w:r w:rsidR="00EF293C" w:rsidRPr="005A079D">
        <w:rPr>
          <w:rFonts w:ascii="Times New Roman" w:hAnsi="Times New Roman"/>
          <w:sz w:val="24"/>
          <w:szCs w:val="24"/>
        </w:rPr>
        <w:t>.</w:t>
      </w:r>
    </w:p>
    <w:p w14:paraId="2F6C90C9" w14:textId="6D29E04B" w:rsidR="0027285F" w:rsidRDefault="0027285F">
      <w:pPr>
        <w:rPr>
          <w:rFonts w:ascii="Times New Roman" w:hAnsi="Times New Roman"/>
          <w:color w:val="FF0000"/>
          <w:sz w:val="24"/>
          <w:szCs w:val="24"/>
        </w:rPr>
      </w:pPr>
      <w:r>
        <w:rPr>
          <w:rFonts w:ascii="Times New Roman" w:hAnsi="Times New Roman"/>
          <w:color w:val="FF0000"/>
          <w:sz w:val="24"/>
          <w:szCs w:val="24"/>
        </w:rPr>
        <w:br w:type="page"/>
      </w:r>
    </w:p>
    <w:p w14:paraId="72FB34C6" w14:textId="689026EE" w:rsidR="00EF293C" w:rsidRPr="00EF293C" w:rsidRDefault="000668F9" w:rsidP="00EF293C">
      <w:pPr>
        <w:pStyle w:val="Titre2"/>
        <w:ind w:left="142"/>
        <w:jc w:val="both"/>
        <w:rPr>
          <w:rFonts w:ascii="Times New Roman" w:hAnsi="Times New Roman" w:cs="Times New Roman"/>
          <w:sz w:val="24"/>
          <w:szCs w:val="24"/>
        </w:rPr>
      </w:pPr>
      <w:bookmarkStart w:id="131" w:name="_Toc516764330"/>
      <w:bookmarkStart w:id="132" w:name="_Toc518468075"/>
      <w:r>
        <w:rPr>
          <w:rFonts w:ascii="Times New Roman" w:hAnsi="Times New Roman" w:cs="Times New Roman"/>
          <w:sz w:val="24"/>
          <w:szCs w:val="24"/>
        </w:rPr>
        <w:lastRenderedPageBreak/>
        <w:t>II</w:t>
      </w:r>
      <w:r w:rsidR="00EF293C" w:rsidRPr="00EF293C">
        <w:rPr>
          <w:rFonts w:ascii="Times New Roman" w:hAnsi="Times New Roman" w:cs="Times New Roman"/>
          <w:sz w:val="24"/>
          <w:szCs w:val="24"/>
        </w:rPr>
        <w:t>I.2. Registre des droits pétroliers</w:t>
      </w:r>
      <w:bookmarkEnd w:id="131"/>
      <w:bookmarkEnd w:id="132"/>
    </w:p>
    <w:p w14:paraId="2A249441" w14:textId="77777777" w:rsidR="00EF293C" w:rsidRDefault="00EF293C" w:rsidP="00EF293C">
      <w:pPr>
        <w:ind w:left="142"/>
        <w:jc w:val="both"/>
        <w:rPr>
          <w:rFonts w:ascii="Times New Roman" w:hAnsi="Times New Roman"/>
          <w:sz w:val="24"/>
          <w:szCs w:val="24"/>
        </w:rPr>
      </w:pPr>
      <w:r w:rsidRPr="000C200F">
        <w:rPr>
          <w:rFonts w:ascii="Times New Roman" w:hAnsi="Times New Roman"/>
          <w:sz w:val="24"/>
          <w:szCs w:val="24"/>
        </w:rPr>
        <w:t>Le registre des droits pétroliers est jusqu’à ce jour tenu manuellement par le Secrétariat Général des Hydrocarbures</w:t>
      </w:r>
      <w:r>
        <w:rPr>
          <w:rFonts w:ascii="Times New Roman" w:hAnsi="Times New Roman"/>
          <w:sz w:val="24"/>
          <w:szCs w:val="24"/>
        </w:rPr>
        <w:t>. Néanmoins, l</w:t>
      </w:r>
      <w:r w:rsidRPr="000C200F">
        <w:rPr>
          <w:rFonts w:ascii="Times New Roman" w:hAnsi="Times New Roman"/>
          <w:sz w:val="24"/>
          <w:szCs w:val="24"/>
        </w:rPr>
        <w:t xml:space="preserve">e ST </w:t>
      </w:r>
      <w:r>
        <w:rPr>
          <w:rFonts w:ascii="Times New Roman" w:hAnsi="Times New Roman"/>
          <w:sz w:val="24"/>
          <w:szCs w:val="24"/>
        </w:rPr>
        <w:t>l’a obtenu</w:t>
      </w:r>
      <w:r w:rsidR="0027285F" w:rsidRPr="00C520BA">
        <w:rPr>
          <w:rStyle w:val="Lienhypertexte"/>
          <w:rFonts w:ascii="Times New Roman" w:hAnsi="Times New Roman"/>
          <w:sz w:val="24"/>
          <w:szCs w:val="24"/>
          <w:u w:val="none"/>
        </w:rPr>
        <w:t xml:space="preserve">, </w:t>
      </w:r>
      <w:r w:rsidRPr="00EF293C">
        <w:rPr>
          <w:rStyle w:val="Lienhypertexte"/>
          <w:rFonts w:ascii="Times New Roman" w:hAnsi="Times New Roman"/>
          <w:color w:val="404040" w:themeColor="text1" w:themeTint="BF"/>
          <w:sz w:val="24"/>
          <w:szCs w:val="24"/>
          <w:u w:val="none"/>
        </w:rPr>
        <w:t>compilé et</w:t>
      </w:r>
      <w:r w:rsidRPr="00EF293C">
        <w:rPr>
          <w:rStyle w:val="Lienhypertexte"/>
          <w:rFonts w:ascii="Times New Roman" w:hAnsi="Times New Roman"/>
          <w:color w:val="404040" w:themeColor="text1" w:themeTint="BF"/>
          <w:sz w:val="24"/>
          <w:szCs w:val="24"/>
        </w:rPr>
        <w:t xml:space="preserve"> </w:t>
      </w:r>
      <w:r w:rsidRPr="000C200F">
        <w:rPr>
          <w:rFonts w:ascii="Times New Roman" w:hAnsi="Times New Roman"/>
          <w:sz w:val="24"/>
          <w:szCs w:val="24"/>
        </w:rPr>
        <w:t xml:space="preserve">publié sur </w:t>
      </w:r>
      <w:r w:rsidRPr="00481D71">
        <w:rPr>
          <w:rFonts w:ascii="Times New Roman" w:hAnsi="Times New Roman"/>
          <w:sz w:val="24"/>
          <w:szCs w:val="24"/>
        </w:rPr>
        <w:t>le site de l’ITIE-RDC</w:t>
      </w:r>
      <w:r>
        <w:rPr>
          <w:rStyle w:val="Appelnotedebasdep"/>
          <w:rFonts w:ascii="Times New Roman" w:hAnsi="Times New Roman"/>
          <w:sz w:val="24"/>
          <w:szCs w:val="24"/>
        </w:rPr>
        <w:footnoteReference w:id="20"/>
      </w:r>
      <w:r>
        <w:rPr>
          <w:rFonts w:ascii="Times New Roman" w:hAnsi="Times New Roman"/>
          <w:sz w:val="24"/>
          <w:szCs w:val="24"/>
        </w:rPr>
        <w:t>.</w:t>
      </w:r>
      <w:r w:rsidRPr="000C200F">
        <w:rPr>
          <w:rFonts w:ascii="Times New Roman" w:hAnsi="Times New Roman"/>
          <w:sz w:val="24"/>
          <w:szCs w:val="24"/>
        </w:rPr>
        <w:t xml:space="preserve"> </w:t>
      </w:r>
    </w:p>
    <w:p w14:paraId="5858530F" w14:textId="77777777" w:rsidR="00EF293C" w:rsidRPr="000C200F" w:rsidRDefault="00EF293C" w:rsidP="00EF293C">
      <w:pPr>
        <w:ind w:left="142"/>
        <w:jc w:val="both"/>
        <w:rPr>
          <w:rFonts w:ascii="Times New Roman" w:hAnsi="Times New Roman"/>
          <w:sz w:val="24"/>
          <w:szCs w:val="24"/>
        </w:rPr>
      </w:pPr>
      <w:r>
        <w:rPr>
          <w:rFonts w:ascii="Times New Roman" w:hAnsi="Times New Roman"/>
          <w:sz w:val="24"/>
          <w:szCs w:val="24"/>
        </w:rPr>
        <w:t>Ce registre contient l</w:t>
      </w:r>
      <w:r w:rsidRPr="000C200F">
        <w:rPr>
          <w:rFonts w:ascii="Times New Roman" w:hAnsi="Times New Roman"/>
          <w:sz w:val="24"/>
          <w:szCs w:val="24"/>
        </w:rPr>
        <w:t>es informations</w:t>
      </w:r>
      <w:r>
        <w:rPr>
          <w:rFonts w:ascii="Times New Roman" w:hAnsi="Times New Roman"/>
          <w:sz w:val="24"/>
          <w:szCs w:val="24"/>
        </w:rPr>
        <w:t xml:space="preserve"> </w:t>
      </w:r>
      <w:r w:rsidRPr="000C200F">
        <w:rPr>
          <w:rFonts w:ascii="Times New Roman" w:hAnsi="Times New Roman"/>
          <w:sz w:val="24"/>
          <w:szCs w:val="24"/>
        </w:rPr>
        <w:t>suivantes :</w:t>
      </w:r>
    </w:p>
    <w:p w14:paraId="4F77514C"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nom de l’opérateur et son NIF ;</w:t>
      </w:r>
    </w:p>
    <w:p w14:paraId="2F76AB33"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type de permis ;</w:t>
      </w:r>
    </w:p>
    <w:p w14:paraId="76928E27"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 type de contrat ;</w:t>
      </w:r>
    </w:p>
    <w:p w14:paraId="6F646B12"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superficie du périmètre ;</w:t>
      </w:r>
    </w:p>
    <w:p w14:paraId="7A6C89F2"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les coordonnées géographiques ;</w:t>
      </w:r>
    </w:p>
    <w:p w14:paraId="30F50539"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 xml:space="preserve">la date de demande du permis ; </w:t>
      </w:r>
    </w:p>
    <w:p w14:paraId="42D61C5F"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date d’octroi ainsi que la durée de validité du permis ;</w:t>
      </w:r>
    </w:p>
    <w:p w14:paraId="2B0B38FC"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les opérations intervenues au cours de l’année ;</w:t>
      </w:r>
    </w:p>
    <w:p w14:paraId="6895F888" w14:textId="77777777" w:rsidR="00EF293C" w:rsidRPr="000C200F" w:rsidRDefault="00EF293C" w:rsidP="000738D3">
      <w:pPr>
        <w:pStyle w:val="Paragraphedeliste"/>
        <w:numPr>
          <w:ilvl w:val="0"/>
          <w:numId w:val="31"/>
        </w:numPr>
        <w:spacing w:after="0"/>
        <w:ind w:left="709" w:hanging="283"/>
        <w:jc w:val="both"/>
        <w:rPr>
          <w:rFonts w:ascii="Times New Roman" w:hAnsi="Times New Roman" w:cs="Times New Roman"/>
          <w:sz w:val="24"/>
          <w:szCs w:val="24"/>
        </w:rPr>
      </w:pPr>
      <w:r w:rsidRPr="000C200F">
        <w:rPr>
          <w:rFonts w:ascii="Times New Roman" w:hAnsi="Times New Roman" w:cs="Times New Roman"/>
          <w:sz w:val="24"/>
          <w:szCs w:val="24"/>
        </w:rPr>
        <w:t xml:space="preserve">la matière exploitée et </w:t>
      </w:r>
    </w:p>
    <w:p w14:paraId="5C6C6334" w14:textId="77777777" w:rsidR="00EF293C" w:rsidRDefault="00EF293C" w:rsidP="000738D3">
      <w:pPr>
        <w:pStyle w:val="Paragraphedeliste"/>
        <w:numPr>
          <w:ilvl w:val="0"/>
          <w:numId w:val="31"/>
        </w:numPr>
        <w:ind w:left="709" w:hanging="283"/>
        <w:jc w:val="both"/>
        <w:rPr>
          <w:rFonts w:ascii="Times New Roman" w:hAnsi="Times New Roman" w:cs="Times New Roman"/>
          <w:sz w:val="24"/>
          <w:szCs w:val="24"/>
        </w:rPr>
      </w:pPr>
      <w:r w:rsidRPr="000C200F">
        <w:rPr>
          <w:rFonts w:ascii="Times New Roman" w:hAnsi="Times New Roman" w:cs="Times New Roman"/>
          <w:sz w:val="24"/>
          <w:szCs w:val="24"/>
        </w:rPr>
        <w:t>la région d’extraction.</w:t>
      </w:r>
    </w:p>
    <w:p w14:paraId="4526AE03" w14:textId="77777777" w:rsidR="00EF293C" w:rsidRDefault="00EF293C" w:rsidP="00EF293C">
      <w:pPr>
        <w:jc w:val="both"/>
        <w:rPr>
          <w:rFonts w:ascii="Times New Roman" w:hAnsi="Times New Roman"/>
          <w:sz w:val="24"/>
          <w:szCs w:val="24"/>
        </w:rPr>
      </w:pPr>
      <w:r w:rsidRPr="00E239D4">
        <w:rPr>
          <w:rFonts w:ascii="Times New Roman" w:hAnsi="Times New Roman"/>
          <w:sz w:val="24"/>
          <w:szCs w:val="24"/>
        </w:rPr>
        <w:t xml:space="preserve">Le Secrétariat Technique de l’ITIE et le Secrétariat Général aux Hydrocarbures sont en train de travailler là-dessus pour compléter les informations manquantes, notamment la date de demande de permis qui n’est nulle part renseignée et les NIF de certains opérateurs. </w:t>
      </w:r>
    </w:p>
    <w:p w14:paraId="77EE870C" w14:textId="77777777" w:rsidR="00990DCA" w:rsidRPr="00E239D4" w:rsidRDefault="00990DCA" w:rsidP="00EF293C">
      <w:pPr>
        <w:jc w:val="both"/>
        <w:rPr>
          <w:rFonts w:ascii="Times New Roman" w:hAnsi="Times New Roman"/>
          <w:sz w:val="24"/>
          <w:szCs w:val="24"/>
        </w:rPr>
      </w:pPr>
    </w:p>
    <w:p w14:paraId="14BFCF06" w14:textId="77777777" w:rsidR="00990DCA" w:rsidRPr="00D6058E" w:rsidRDefault="00990DCA" w:rsidP="0027285F">
      <w:pPr>
        <w:tabs>
          <w:tab w:val="left" w:pos="8505"/>
        </w:tabs>
        <w:autoSpaceDE w:val="0"/>
        <w:autoSpaceDN w:val="0"/>
        <w:adjustRightInd w:val="0"/>
        <w:spacing w:before="240" w:after="120"/>
        <w:jc w:val="both"/>
        <w:rPr>
          <w:rFonts w:ascii="Times New Roman" w:eastAsiaTheme="majorEastAsia" w:hAnsi="Times New Roman"/>
          <w:b/>
          <w:caps/>
          <w:color w:val="3B3838" w:themeColor="background2" w:themeShade="40"/>
          <w:spacing w:val="14"/>
          <w:sz w:val="24"/>
          <w:szCs w:val="24"/>
          <w:u w:val="single"/>
        </w:rPr>
      </w:pPr>
      <w:r w:rsidRPr="00D6058E">
        <w:rPr>
          <w:rFonts w:ascii="Times New Roman" w:eastAsiaTheme="majorEastAsia" w:hAnsi="Times New Roman"/>
          <w:b/>
          <w:caps/>
          <w:color w:val="3B3838" w:themeColor="background2" w:themeShade="40"/>
          <w:spacing w:val="14"/>
          <w:sz w:val="24"/>
          <w:szCs w:val="24"/>
          <w:u w:val="single"/>
        </w:rPr>
        <w:t>ELEMENT SYNTHESE DU REGISTRE PETROLIER</w:t>
      </w:r>
    </w:p>
    <w:tbl>
      <w:tblPr>
        <w:tblStyle w:val="TableauGrille1Clair1"/>
        <w:tblW w:w="9834" w:type="dxa"/>
        <w:tblLayout w:type="fixed"/>
        <w:tblLook w:val="04A0" w:firstRow="1" w:lastRow="0" w:firstColumn="1" w:lastColumn="0" w:noHBand="0" w:noVBand="1"/>
      </w:tblPr>
      <w:tblGrid>
        <w:gridCol w:w="6912"/>
        <w:gridCol w:w="1636"/>
        <w:gridCol w:w="1286"/>
      </w:tblGrid>
      <w:tr w:rsidR="00990DCA" w:rsidRPr="00D6058E" w14:paraId="0A5AA367" w14:textId="77777777" w:rsidTr="00D6058E">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6912" w:type="dxa"/>
            <w:noWrap/>
            <w:vAlign w:val="center"/>
            <w:hideMark/>
          </w:tcPr>
          <w:p w14:paraId="1D75CFCE" w14:textId="77777777" w:rsidR="00990DCA" w:rsidRPr="00D6058E" w:rsidRDefault="00990DCA" w:rsidP="00D6058E">
            <w:pPr>
              <w:jc w:val="center"/>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Type de Contrat</w:t>
            </w:r>
          </w:p>
        </w:tc>
        <w:tc>
          <w:tcPr>
            <w:tcW w:w="1636" w:type="dxa"/>
            <w:noWrap/>
            <w:vAlign w:val="center"/>
            <w:hideMark/>
          </w:tcPr>
          <w:p w14:paraId="4BB1D545"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Type de Permis</w:t>
            </w:r>
          </w:p>
        </w:tc>
        <w:tc>
          <w:tcPr>
            <w:tcW w:w="1286" w:type="dxa"/>
            <w:noWrap/>
            <w:vAlign w:val="center"/>
            <w:hideMark/>
          </w:tcPr>
          <w:p w14:paraId="004FA431"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D6058E">
              <w:rPr>
                <w:rFonts w:ascii="Times New Roman" w:eastAsia="Times New Roman" w:hAnsi="Times New Roman"/>
                <w:bCs w:val="0"/>
                <w:color w:val="000000"/>
                <w:sz w:val="20"/>
                <w:szCs w:val="20"/>
                <w:lang w:eastAsia="fr-FR"/>
              </w:rPr>
              <w:t>Opérateur</w:t>
            </w:r>
          </w:p>
        </w:tc>
      </w:tr>
      <w:tr w:rsidR="00990DCA" w:rsidRPr="00D6058E" w14:paraId="5259B7C7" w14:textId="77777777" w:rsidTr="00D6058E">
        <w:trPr>
          <w:trHeight w:val="72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523B515A"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et géochimiques sur le bloc YEMA du bassin côtier</w:t>
            </w:r>
          </w:p>
        </w:tc>
        <w:tc>
          <w:tcPr>
            <w:tcW w:w="1636" w:type="dxa"/>
            <w:vAlign w:val="center"/>
            <w:hideMark/>
          </w:tcPr>
          <w:p w14:paraId="48ACD4F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2973964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ARIANA OIL &amp; GAS</w:t>
            </w:r>
          </w:p>
        </w:tc>
      </w:tr>
      <w:tr w:rsidR="00990DCA" w:rsidRPr="00D6058E" w14:paraId="21186382" w14:textId="77777777" w:rsidTr="00D6058E">
        <w:trPr>
          <w:trHeight w:val="64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56EC22C9"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géochimiques et bathymétriques sur la concession gazière GOMA du lac Kivu</w:t>
            </w:r>
          </w:p>
        </w:tc>
        <w:tc>
          <w:tcPr>
            <w:tcW w:w="1636" w:type="dxa"/>
            <w:vAlign w:val="center"/>
            <w:hideMark/>
          </w:tcPr>
          <w:p w14:paraId="3BFF5C86"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4E8D62E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EPPM</w:t>
            </w:r>
          </w:p>
        </w:tc>
      </w:tr>
      <w:tr w:rsidR="00990DCA" w:rsidRPr="00D6058E" w14:paraId="5CD5B3A7" w14:textId="77777777" w:rsidTr="00D6058E">
        <w:trPr>
          <w:trHeight w:val="61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FAE240E"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Demande d'accès aux données géologiques, géophysiques et géochimiques du Rendu du bloc YEMA du bassin côtier</w:t>
            </w:r>
          </w:p>
        </w:tc>
        <w:tc>
          <w:tcPr>
            <w:tcW w:w="1636" w:type="dxa"/>
            <w:vAlign w:val="center"/>
            <w:hideMark/>
          </w:tcPr>
          <w:p w14:paraId="16A9FEE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Autorisation d'accès aux données</w:t>
            </w:r>
          </w:p>
        </w:tc>
        <w:tc>
          <w:tcPr>
            <w:tcW w:w="1286" w:type="dxa"/>
            <w:vAlign w:val="center"/>
            <w:hideMark/>
          </w:tcPr>
          <w:p w14:paraId="12A4F19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LEDYA SPRL</w:t>
            </w:r>
          </w:p>
        </w:tc>
      </w:tr>
      <w:tr w:rsidR="00990DCA" w:rsidRPr="00D6058E" w14:paraId="0B82F4DE" w14:textId="77777777" w:rsidTr="00D6058E">
        <w:trPr>
          <w:trHeight w:val="66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D5A0089"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SURESTREAM PETROLEUM LIMITED – La Congolaise des Hydrocarbures sur le  bloc NDUNDA, Bassin côtier</w:t>
            </w:r>
          </w:p>
        </w:tc>
        <w:tc>
          <w:tcPr>
            <w:tcW w:w="1636" w:type="dxa"/>
            <w:vAlign w:val="center"/>
            <w:hideMark/>
          </w:tcPr>
          <w:p w14:paraId="50D34CB4"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5532736D"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SURESTREAM</w:t>
            </w:r>
          </w:p>
        </w:tc>
      </w:tr>
      <w:tr w:rsidR="00990DCA" w:rsidRPr="00D6058E" w14:paraId="3234E563" w14:textId="77777777" w:rsidTr="00D6058E">
        <w:trPr>
          <w:trHeight w:val="63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9F89B13"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South Africa Congo Oil (PTY) Ltd – La Congolaise des Hydrocarbures sur le Bloc III, Graben Albertine RDC</w:t>
            </w:r>
          </w:p>
        </w:tc>
        <w:tc>
          <w:tcPr>
            <w:tcW w:w="1636" w:type="dxa"/>
            <w:vAlign w:val="center"/>
            <w:hideMark/>
          </w:tcPr>
          <w:p w14:paraId="11620B1C"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7950F787"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Total E&amp;P RDC</w:t>
            </w:r>
          </w:p>
        </w:tc>
      </w:tr>
      <w:tr w:rsidR="00990DCA" w:rsidRPr="00D6058E" w14:paraId="6F400783" w14:textId="77777777" w:rsidTr="00D6058E">
        <w:trPr>
          <w:trHeight w:val="63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250DDCF"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SURESTREAM PETROLEUM LIMITED – La Congolaise des Hydrocarbures sur les  Blocs YEMA-MATAMBA MAKANZI, Bassin côtier</w:t>
            </w:r>
          </w:p>
        </w:tc>
        <w:tc>
          <w:tcPr>
            <w:tcW w:w="1636" w:type="dxa"/>
            <w:vAlign w:val="center"/>
            <w:hideMark/>
          </w:tcPr>
          <w:p w14:paraId="635A15A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11FE98F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SURESTREAM </w:t>
            </w:r>
          </w:p>
        </w:tc>
      </w:tr>
      <w:tr w:rsidR="00990DCA" w:rsidRPr="00D6058E" w14:paraId="08C59546" w14:textId="77777777" w:rsidTr="00D6058E">
        <w:trPr>
          <w:trHeight w:val="88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66D121F"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ASSOCIATION COMPAGNIE MINIERE CONGOLAISE SPRL ET LA CONGOLAISE DES HYDROCARBURES SUR LES BLOCS MBANDAKA.01, LOKORO.02 ET BUSIRA.03 DE LA CUVETTE CENTRALE</w:t>
            </w:r>
          </w:p>
        </w:tc>
        <w:tc>
          <w:tcPr>
            <w:tcW w:w="1636" w:type="dxa"/>
            <w:vAlign w:val="center"/>
            <w:hideMark/>
          </w:tcPr>
          <w:p w14:paraId="215CE789"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042B360F"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COMICO SPRL</w:t>
            </w:r>
          </w:p>
        </w:tc>
      </w:tr>
      <w:tr w:rsidR="00990DCA" w:rsidRPr="00D6058E" w14:paraId="137FC697" w14:textId="77777777" w:rsidTr="00D6058E">
        <w:trPr>
          <w:trHeight w:val="61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1EFC5E45"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lastRenderedPageBreak/>
              <w:t>CPP RDC et Association ENERGULF AFRICA Ltd – La Congolaise des Hydrocarbures sur le Bloc Lotshi, Bassin côtier</w:t>
            </w:r>
          </w:p>
        </w:tc>
        <w:tc>
          <w:tcPr>
            <w:tcW w:w="1636" w:type="dxa"/>
            <w:vAlign w:val="center"/>
            <w:hideMark/>
          </w:tcPr>
          <w:p w14:paraId="52B94D9D"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29E363FE"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ENERGULF </w:t>
            </w:r>
          </w:p>
        </w:tc>
      </w:tr>
      <w:tr w:rsidR="00990DCA" w:rsidRPr="00D6058E" w14:paraId="3F03F1C0" w14:textId="77777777" w:rsidTr="00D6058E">
        <w:trPr>
          <w:trHeight w:val="51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27F254FD"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CPP RDC et Caprikat Ltd et Foxwhelp Ltd sur les blocs I &amp; II du graben Albertine</w:t>
            </w:r>
          </w:p>
        </w:tc>
        <w:tc>
          <w:tcPr>
            <w:tcW w:w="1636" w:type="dxa"/>
            <w:vAlign w:val="center"/>
            <w:hideMark/>
          </w:tcPr>
          <w:p w14:paraId="16B3485A"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d'exploration</w:t>
            </w:r>
          </w:p>
        </w:tc>
        <w:tc>
          <w:tcPr>
            <w:tcW w:w="1286" w:type="dxa"/>
            <w:vAlign w:val="center"/>
            <w:hideMark/>
          </w:tcPr>
          <w:p w14:paraId="76EB6162"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Oil of DR Congo</w:t>
            </w:r>
          </w:p>
        </w:tc>
      </w:tr>
      <w:tr w:rsidR="00990DCA" w:rsidRPr="00D6058E" w14:paraId="30535B6F" w14:textId="77777777" w:rsidTr="00D6058E">
        <w:trPr>
          <w:trHeight w:val="48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155E240D"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Convention du 11 août 1969 sur les Concessions  179 Est Mibale et 189 Liawenda-Kinkazi, Bassin côtier</w:t>
            </w:r>
          </w:p>
        </w:tc>
        <w:tc>
          <w:tcPr>
            <w:tcW w:w="1636" w:type="dxa"/>
            <w:vAlign w:val="center"/>
            <w:hideMark/>
          </w:tcPr>
          <w:p w14:paraId="5799BD45"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d'exploitation</w:t>
            </w:r>
          </w:p>
        </w:tc>
        <w:tc>
          <w:tcPr>
            <w:tcW w:w="1286" w:type="dxa"/>
            <w:vAlign w:val="center"/>
            <w:hideMark/>
          </w:tcPr>
          <w:p w14:paraId="3FFEE2E6"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PERENCO-REP</w:t>
            </w:r>
          </w:p>
        </w:tc>
      </w:tr>
      <w:tr w:rsidR="00990DCA" w:rsidRPr="00D6058E" w14:paraId="37F16D8F" w14:textId="77777777" w:rsidTr="00D6058E">
        <w:trPr>
          <w:trHeight w:val="48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08E78EEA" w14:textId="77777777" w:rsidR="00990DCA" w:rsidRPr="00D6058E" w:rsidRDefault="00990DCA" w:rsidP="00D6058E">
            <w:pPr>
              <w:rPr>
                <w:rFonts w:ascii="Times New Roman" w:eastAsia="Times New Roman" w:hAnsi="Times New Roman"/>
                <w:b w:val="0"/>
                <w:color w:val="000000"/>
                <w:sz w:val="20"/>
                <w:szCs w:val="20"/>
                <w:lang w:eastAsia="fr-FR"/>
              </w:rPr>
            </w:pPr>
            <w:r w:rsidRPr="00D6058E">
              <w:rPr>
                <w:rFonts w:ascii="Times New Roman" w:eastAsia="Times New Roman" w:hAnsi="Times New Roman"/>
                <w:b w:val="0"/>
                <w:color w:val="000000"/>
                <w:sz w:val="20"/>
                <w:szCs w:val="20"/>
                <w:lang w:eastAsia="fr-FR"/>
              </w:rPr>
              <w:t xml:space="preserve">Convention du 09 août 1969 sur la Concession 177, Bassin côtier    </w:t>
            </w:r>
          </w:p>
        </w:tc>
        <w:tc>
          <w:tcPr>
            <w:tcW w:w="1636" w:type="dxa"/>
            <w:vAlign w:val="center"/>
            <w:hideMark/>
          </w:tcPr>
          <w:p w14:paraId="36625577"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Permis d'exploitation</w:t>
            </w:r>
          </w:p>
        </w:tc>
        <w:tc>
          <w:tcPr>
            <w:tcW w:w="1286" w:type="dxa"/>
            <w:vAlign w:val="center"/>
            <w:hideMark/>
          </w:tcPr>
          <w:p w14:paraId="75758161"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D6058E">
              <w:rPr>
                <w:rFonts w:ascii="Times New Roman" w:eastAsia="Times New Roman" w:hAnsi="Times New Roman"/>
                <w:color w:val="000000"/>
                <w:sz w:val="20"/>
                <w:szCs w:val="20"/>
                <w:lang w:eastAsia="fr-FR"/>
              </w:rPr>
              <w:t xml:space="preserve">MIOC Ltd </w:t>
            </w:r>
          </w:p>
        </w:tc>
      </w:tr>
    </w:tbl>
    <w:p w14:paraId="4404E296" w14:textId="77777777" w:rsidR="00990DCA" w:rsidRPr="00D6058E" w:rsidRDefault="00990DCA">
      <w:pPr>
        <w:rPr>
          <w:rFonts w:ascii="Times New Roman" w:hAnsi="Times New Roman"/>
        </w:rPr>
      </w:pPr>
    </w:p>
    <w:p w14:paraId="0A7573F4" w14:textId="77777777" w:rsidR="00990DCA" w:rsidRDefault="00990DCA">
      <w:pPr>
        <w:rPr>
          <w:rFonts w:ascii="Times New Roman" w:hAnsi="Times New Roman"/>
        </w:rPr>
      </w:pPr>
    </w:p>
    <w:p w14:paraId="56EE1ADA" w14:textId="77777777" w:rsidR="00990DCA" w:rsidRPr="00D6058E" w:rsidRDefault="00990DCA" w:rsidP="00D6058E">
      <w:pPr>
        <w:tabs>
          <w:tab w:val="left" w:pos="8505"/>
        </w:tabs>
        <w:autoSpaceDE w:val="0"/>
        <w:autoSpaceDN w:val="0"/>
        <w:adjustRightInd w:val="0"/>
        <w:spacing w:before="240" w:after="120"/>
        <w:jc w:val="both"/>
        <w:rPr>
          <w:rFonts w:ascii="Times New Roman" w:eastAsiaTheme="majorEastAsia" w:hAnsi="Times New Roman"/>
          <w:b/>
          <w:caps/>
          <w:color w:val="3B3838" w:themeColor="background2" w:themeShade="40"/>
          <w:spacing w:val="14"/>
          <w:sz w:val="24"/>
          <w:szCs w:val="24"/>
          <w:u w:val="single"/>
        </w:rPr>
      </w:pPr>
      <w:r w:rsidRPr="00D6058E">
        <w:rPr>
          <w:rFonts w:ascii="Times New Roman" w:eastAsiaTheme="majorEastAsia" w:hAnsi="Times New Roman"/>
          <w:b/>
          <w:caps/>
          <w:color w:val="3B3838" w:themeColor="background2" w:themeShade="40"/>
          <w:spacing w:val="14"/>
          <w:sz w:val="24"/>
          <w:szCs w:val="24"/>
          <w:u w:val="single"/>
        </w:rPr>
        <w:t>Opérations intervenues</w:t>
      </w:r>
    </w:p>
    <w:tbl>
      <w:tblPr>
        <w:tblStyle w:val="TableauGrille1Clair"/>
        <w:tblW w:w="10173" w:type="dxa"/>
        <w:tblLook w:val="04A0" w:firstRow="1" w:lastRow="0" w:firstColumn="1" w:lastColumn="0" w:noHBand="0" w:noVBand="1"/>
      </w:tblPr>
      <w:tblGrid>
        <w:gridCol w:w="6912"/>
        <w:gridCol w:w="3261"/>
      </w:tblGrid>
      <w:tr w:rsidR="00990DCA" w:rsidRPr="00D6058E" w14:paraId="47D6ADC4" w14:textId="77777777" w:rsidTr="00D605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0788F46A" w14:textId="77777777" w:rsidR="00990DCA" w:rsidRPr="00D6058E" w:rsidRDefault="00990DCA" w:rsidP="00D6058E">
            <w:pPr>
              <w:jc w:val="center"/>
              <w:rPr>
                <w:rFonts w:ascii="Times New Roman" w:hAnsi="Times New Roman"/>
                <w:sz w:val="20"/>
                <w:szCs w:val="20"/>
              </w:rPr>
            </w:pPr>
            <w:r w:rsidRPr="00D6058E">
              <w:rPr>
                <w:rFonts w:ascii="Times New Roman" w:hAnsi="Times New Roman"/>
                <w:sz w:val="20"/>
                <w:szCs w:val="20"/>
              </w:rPr>
              <w:t>opérations</w:t>
            </w:r>
          </w:p>
        </w:tc>
        <w:tc>
          <w:tcPr>
            <w:tcW w:w="3261" w:type="dxa"/>
            <w:vAlign w:val="center"/>
          </w:tcPr>
          <w:p w14:paraId="2C154A78" w14:textId="77777777" w:rsidR="00990DCA" w:rsidRPr="00D6058E" w:rsidRDefault="00990DCA" w:rsidP="00D605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hAnsi="Times New Roman"/>
                <w:sz w:val="20"/>
                <w:szCs w:val="20"/>
              </w:rPr>
              <w:t>bénéficiaires</w:t>
            </w:r>
          </w:p>
        </w:tc>
      </w:tr>
      <w:tr w:rsidR="00990DCA" w:rsidRPr="00D6058E" w14:paraId="37B61E9D" w14:textId="77777777" w:rsidTr="00D6058E">
        <w:trPr>
          <w:trHeight w:val="564"/>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11D51FAF" w14:textId="77777777" w:rsidR="00990DCA" w:rsidRPr="00D6058E" w:rsidRDefault="00990DCA" w:rsidP="00D6058E">
            <w:pPr>
              <w:rPr>
                <w:rFonts w:ascii="Times New Roman" w:hAnsi="Times New Roman"/>
                <w:b w:val="0"/>
                <w:sz w:val="20"/>
                <w:szCs w:val="20"/>
              </w:rPr>
            </w:pPr>
            <w:r w:rsidRPr="00D6058E">
              <w:rPr>
                <w:rFonts w:ascii="Times New Roman" w:hAnsi="Times New Roman"/>
                <w:b w:val="0"/>
                <w:sz w:val="20"/>
                <w:szCs w:val="20"/>
              </w:rPr>
              <w:t>Extension de Permis</w:t>
            </w:r>
          </w:p>
        </w:tc>
        <w:tc>
          <w:tcPr>
            <w:tcW w:w="3261" w:type="dxa"/>
            <w:vAlign w:val="center"/>
          </w:tcPr>
          <w:p w14:paraId="382D2A22"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eastAsia="Times New Roman" w:hAnsi="Times New Roman"/>
                <w:color w:val="000000"/>
                <w:sz w:val="20"/>
                <w:szCs w:val="20"/>
                <w:lang w:eastAsia="fr-FR"/>
              </w:rPr>
              <w:t>Total E&amp;P RDC</w:t>
            </w:r>
          </w:p>
        </w:tc>
      </w:tr>
      <w:tr w:rsidR="00990DCA" w:rsidRPr="00D6058E" w14:paraId="600B4E29" w14:textId="77777777" w:rsidTr="00D6058E">
        <w:trPr>
          <w:trHeight w:val="686"/>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60C132B7" w14:textId="77777777" w:rsidR="00990DCA" w:rsidRPr="00D6058E" w:rsidRDefault="00990DCA" w:rsidP="00D6058E">
            <w:pPr>
              <w:rPr>
                <w:rFonts w:ascii="Times New Roman" w:hAnsi="Times New Roman"/>
                <w:b w:val="0"/>
                <w:sz w:val="20"/>
                <w:szCs w:val="20"/>
              </w:rPr>
            </w:pPr>
            <w:r w:rsidRPr="00D6058E">
              <w:rPr>
                <w:rFonts w:ascii="Times New Roman" w:hAnsi="Times New Roman"/>
                <w:b w:val="0"/>
                <w:sz w:val="20"/>
                <w:szCs w:val="20"/>
              </w:rPr>
              <w:t>Renouvellement de la Concession et prorogation de la Convention du 09/08/1969 suivant l’avenant n° 8 offshore</w:t>
            </w:r>
          </w:p>
        </w:tc>
        <w:tc>
          <w:tcPr>
            <w:tcW w:w="3261" w:type="dxa"/>
            <w:vAlign w:val="center"/>
          </w:tcPr>
          <w:p w14:paraId="6EC393D5" w14:textId="77777777" w:rsidR="00990DCA" w:rsidRPr="00D6058E" w:rsidRDefault="00990DCA" w:rsidP="00D6058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6058E">
              <w:rPr>
                <w:rFonts w:ascii="Times New Roman" w:hAnsi="Times New Roman"/>
                <w:sz w:val="20"/>
                <w:szCs w:val="20"/>
              </w:rPr>
              <w:t>Groupes PERENCO, TEIKOKU &amp; CHEVRON</w:t>
            </w:r>
          </w:p>
        </w:tc>
      </w:tr>
    </w:tbl>
    <w:p w14:paraId="72DD5606" w14:textId="77777777" w:rsidR="002942D7" w:rsidRDefault="002942D7">
      <w:pPr>
        <w:rPr>
          <w:rFonts w:ascii="Times New Roman" w:hAnsi="Times New Roman"/>
        </w:rPr>
      </w:pPr>
    </w:p>
    <w:p w14:paraId="2CC2576F" w14:textId="5A1FAC3B" w:rsidR="000B5866" w:rsidRDefault="002942D7">
      <w:pPr>
        <w:rPr>
          <w:rFonts w:ascii="Times New Roman" w:hAnsi="Times New Roman"/>
        </w:rPr>
      </w:pPr>
      <w:r>
        <w:rPr>
          <w:rFonts w:ascii="Times New Roman" w:hAnsi="Times New Roman"/>
          <w:noProof/>
          <w:lang w:eastAsia="fr-FR"/>
        </w:rPr>
        <mc:AlternateContent>
          <mc:Choice Requires="wps">
            <w:drawing>
              <wp:anchor distT="0" distB="0" distL="114300" distR="114300" simplePos="0" relativeHeight="251660288" behindDoc="0" locked="0" layoutInCell="1" allowOverlap="1" wp14:anchorId="0C1F32E5" wp14:editId="16E8F251">
                <wp:simplePos x="0" y="0"/>
                <wp:positionH relativeFrom="margin">
                  <wp:align>center</wp:align>
                </wp:positionH>
                <wp:positionV relativeFrom="paragraph">
                  <wp:posOffset>78740</wp:posOffset>
                </wp:positionV>
                <wp:extent cx="6405562" cy="1147233"/>
                <wp:effectExtent l="0" t="0" r="14605" b="15240"/>
                <wp:wrapNone/>
                <wp:docPr id="12" name="Zone de texte 12"/>
                <wp:cNvGraphicFramePr/>
                <a:graphic xmlns:a="http://schemas.openxmlformats.org/drawingml/2006/main">
                  <a:graphicData uri="http://schemas.microsoft.com/office/word/2010/wordprocessingShape">
                    <wps:wsp>
                      <wps:cNvSpPr txBox="1"/>
                      <wps:spPr>
                        <a:xfrm>
                          <a:off x="0" y="0"/>
                          <a:ext cx="6405562" cy="11472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A9BFB2A" w14:textId="62BC1093" w:rsidR="00553BF2" w:rsidRPr="002942D7" w:rsidRDefault="00553BF2" w:rsidP="002942D7">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ation</w:t>
                            </w:r>
                            <w:r w:rsidRPr="002942D7">
                              <w:rPr>
                                <w:rFonts w:ascii="Times New Roman" w:eastAsia="Times New Roman" w:hAnsi="Times New Roman"/>
                                <w:b/>
                                <w:color w:val="002060"/>
                                <w:sz w:val="24"/>
                                <w:szCs w:val="24"/>
                                <w:lang w:eastAsia="fr-FR"/>
                              </w:rPr>
                              <w:t xml:space="preserve"> :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CFF40B1" w14:textId="77777777" w:rsidR="00553BF2" w:rsidRDefault="00553BF2" w:rsidP="002942D7">
                            <w:pPr>
                              <w:spacing w:after="0" w:line="240" w:lineRule="auto"/>
                              <w:jc w:val="both"/>
                              <w:rPr>
                                <w:rFonts w:ascii="Times New Roman" w:eastAsia="Times New Roman" w:hAnsi="Times New Roman"/>
                                <w:color w:val="000000"/>
                                <w:sz w:val="24"/>
                                <w:szCs w:val="24"/>
                                <w:lang w:eastAsia="fr-FR"/>
                              </w:rPr>
                            </w:pPr>
                          </w:p>
                          <w:p w14:paraId="0A2C5DC1" w14:textId="77777777" w:rsidR="00553BF2" w:rsidRDefault="00553BF2" w:rsidP="002942D7">
                            <w:pPr>
                              <w:spacing w:after="0" w:line="240" w:lineRule="auto"/>
                              <w:jc w:val="both"/>
                              <w:rPr>
                                <w:rFonts w:ascii="Times New Roman" w:eastAsia="Times New Roman" w:hAnsi="Times New Roman"/>
                                <w:b/>
                                <w:color w:val="000000"/>
                                <w:sz w:val="24"/>
                                <w:szCs w:val="24"/>
                                <w:lang w:eastAsia="fr-FR"/>
                              </w:rPr>
                            </w:pPr>
                            <w:r w:rsidRPr="003D4A27">
                              <w:rPr>
                                <w:rFonts w:ascii="Times New Roman" w:eastAsia="Times New Roman" w:hAnsi="Times New Roman"/>
                                <w:b/>
                                <w:color w:val="000000"/>
                                <w:sz w:val="24"/>
                                <w:szCs w:val="24"/>
                                <w:lang w:eastAsia="fr-FR"/>
                              </w:rPr>
                              <w:t>Au SGH de :</w:t>
                            </w:r>
                          </w:p>
                          <w:p w14:paraId="499640CB" w14:textId="298BE3F4" w:rsidR="00553BF2" w:rsidRPr="00855294" w:rsidRDefault="00553BF2" w:rsidP="00C520BA">
                            <w:pPr>
                              <w:pStyle w:val="Paragraphedeliste"/>
                              <w:spacing w:after="0" w:line="240" w:lineRule="auto"/>
                              <w:ind w:left="0"/>
                              <w:jc w:val="both"/>
                              <w:rPr>
                                <w:rFonts w:ascii="Times New Roman" w:eastAsia="Times New Roman" w:hAnsi="Times New Roman" w:cs="Times New Roman"/>
                                <w:color w:val="000000"/>
                                <w:sz w:val="24"/>
                                <w:szCs w:val="24"/>
                                <w:lang w:eastAsia="fr-FR"/>
                              </w:rPr>
                            </w:pPr>
                            <w:r w:rsidRPr="00855294">
                              <w:rPr>
                                <w:rFonts w:ascii="Times New Roman" w:eastAsia="Times New Roman" w:hAnsi="Times New Roman" w:cs="Times New Roman"/>
                                <w:color w:val="000000"/>
                                <w:sz w:val="24"/>
                                <w:szCs w:val="24"/>
                                <w:lang w:eastAsia="fr-FR"/>
                              </w:rPr>
                              <w:t xml:space="preserve">Compléter </w:t>
                            </w:r>
                            <w:r>
                              <w:rPr>
                                <w:rFonts w:ascii="Times New Roman" w:eastAsia="Times New Roman" w:hAnsi="Times New Roman" w:cs="Times New Roman"/>
                                <w:color w:val="000000"/>
                                <w:sz w:val="24"/>
                                <w:szCs w:val="24"/>
                                <w:lang w:eastAsia="fr-FR"/>
                              </w:rPr>
                              <w:t>le R</w:t>
                            </w:r>
                            <w:r w:rsidRPr="00855294">
                              <w:rPr>
                                <w:rFonts w:ascii="Times New Roman" w:eastAsia="Times New Roman" w:hAnsi="Times New Roman" w:cs="Times New Roman"/>
                                <w:color w:val="000000"/>
                                <w:sz w:val="24"/>
                                <w:szCs w:val="24"/>
                                <w:lang w:eastAsia="fr-FR"/>
                              </w:rPr>
                              <w:t xml:space="preserve">egistre des droits </w:t>
                            </w:r>
                            <w:r>
                              <w:rPr>
                                <w:rFonts w:ascii="Times New Roman" w:eastAsia="Times New Roman" w:hAnsi="Times New Roman" w:cs="Times New Roman"/>
                                <w:color w:val="000000"/>
                                <w:sz w:val="24"/>
                                <w:szCs w:val="24"/>
                                <w:lang w:eastAsia="fr-FR"/>
                              </w:rPr>
                              <w:t xml:space="preserve">pétroliers, </w:t>
                            </w:r>
                            <w:r w:rsidRPr="00855294">
                              <w:rPr>
                                <w:rFonts w:ascii="Times New Roman" w:eastAsia="Times New Roman" w:hAnsi="Times New Roman" w:cs="Times New Roman"/>
                                <w:color w:val="000000"/>
                                <w:sz w:val="24"/>
                                <w:szCs w:val="24"/>
                                <w:lang w:eastAsia="fr-FR"/>
                              </w:rPr>
                              <w:t xml:space="preserve">l’actualiser régulièrement et </w:t>
                            </w:r>
                            <w:r>
                              <w:rPr>
                                <w:rFonts w:ascii="Times New Roman" w:eastAsia="Times New Roman" w:hAnsi="Times New Roman" w:cs="Times New Roman"/>
                                <w:color w:val="000000"/>
                                <w:sz w:val="24"/>
                                <w:szCs w:val="24"/>
                                <w:lang w:eastAsia="fr-FR"/>
                              </w:rPr>
                              <w:t xml:space="preserve">le </w:t>
                            </w:r>
                            <w:r w:rsidRPr="00855294">
                              <w:rPr>
                                <w:rFonts w:ascii="Times New Roman" w:eastAsia="Times New Roman" w:hAnsi="Times New Roman" w:cs="Times New Roman"/>
                                <w:color w:val="000000"/>
                                <w:sz w:val="24"/>
                                <w:szCs w:val="24"/>
                                <w:lang w:eastAsia="fr-FR"/>
                              </w:rPr>
                              <w:t>mettre en ligne pour permettre au public d’accéder aux informations qu’il contient</w:t>
                            </w:r>
                            <w:r>
                              <w:rPr>
                                <w:rFonts w:ascii="Times New Roman" w:eastAsia="Times New Roman" w:hAnsi="Times New Roman" w:cs="Times New Roman"/>
                                <w:color w:val="000000"/>
                                <w:sz w:val="24"/>
                                <w:szCs w:val="24"/>
                                <w:lang w:eastAsia="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F32E5" id="Zone de texte 12" o:spid="_x0000_s1028" type="#_x0000_t202" style="position:absolute;margin-left:0;margin-top:6.2pt;width:504.35pt;height:90.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" fillcolor="#deeaf6 [660]" strokecolor="#deeaf6 [660]" strokeweight=".5pt">
                <v:textbox>
                  <w:txbxContent>
                    <w:p w14:paraId="2A9BFB2A" w14:textId="62BC1093" w:rsidR="00553BF2" w:rsidRPr="002942D7" w:rsidRDefault="00553BF2" w:rsidP="002942D7">
                      <w:pPr>
                        <w:spacing w:after="0" w:line="240" w:lineRule="auto"/>
                        <w:jc w:val="both"/>
                        <w:rPr>
                          <w:rFonts w:ascii="Times New Roman" w:eastAsia="Times New Roman" w:hAnsi="Times New Roman"/>
                          <w:b/>
                          <w:color w:val="002060"/>
                          <w:sz w:val="24"/>
                          <w:szCs w:val="24"/>
                          <w:lang w:eastAsia="fr-FR"/>
                        </w:rPr>
                      </w:pPr>
                      <w:r>
                        <w:rPr>
                          <w:rFonts w:ascii="Times New Roman" w:eastAsia="Times New Roman" w:hAnsi="Times New Roman"/>
                          <w:b/>
                          <w:color w:val="002060"/>
                          <w:sz w:val="24"/>
                          <w:szCs w:val="24"/>
                          <w:u w:val="single"/>
                          <w:lang w:eastAsia="fr-FR"/>
                        </w:rPr>
                        <w:t>R</w:t>
                      </w:r>
                      <w:r w:rsidRPr="002942D7">
                        <w:rPr>
                          <w:rFonts w:ascii="Times New Roman" w:eastAsia="Times New Roman" w:hAnsi="Times New Roman"/>
                          <w:b/>
                          <w:color w:val="002060"/>
                          <w:sz w:val="24"/>
                          <w:szCs w:val="24"/>
                          <w:u w:val="single"/>
                          <w:lang w:eastAsia="fr-FR"/>
                        </w:rPr>
                        <w:t>ecommand</w:t>
                      </w:r>
                      <w:r>
                        <w:rPr>
                          <w:rFonts w:ascii="Times New Roman" w:eastAsia="Times New Roman" w:hAnsi="Times New Roman"/>
                          <w:b/>
                          <w:color w:val="002060"/>
                          <w:sz w:val="24"/>
                          <w:szCs w:val="24"/>
                          <w:u w:val="single"/>
                          <w:lang w:eastAsia="fr-FR"/>
                        </w:rPr>
                        <w:t>ation</w:t>
                      </w:r>
                      <w:r w:rsidRPr="002942D7">
                        <w:rPr>
                          <w:rFonts w:ascii="Times New Roman" w:eastAsia="Times New Roman" w:hAnsi="Times New Roman"/>
                          <w:b/>
                          <w:color w:val="002060"/>
                          <w:sz w:val="24"/>
                          <w:szCs w:val="24"/>
                          <w:lang w:eastAsia="fr-FR"/>
                        </w:rPr>
                        <w:t xml:space="preserve"> :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CFF40B1" w14:textId="77777777" w:rsidR="00553BF2" w:rsidRDefault="00553BF2" w:rsidP="002942D7">
                      <w:pPr>
                        <w:spacing w:after="0" w:line="240" w:lineRule="auto"/>
                        <w:jc w:val="both"/>
                        <w:rPr>
                          <w:rFonts w:ascii="Times New Roman" w:eastAsia="Times New Roman" w:hAnsi="Times New Roman"/>
                          <w:color w:val="000000"/>
                          <w:sz w:val="24"/>
                          <w:szCs w:val="24"/>
                          <w:lang w:eastAsia="fr-FR"/>
                        </w:rPr>
                      </w:pPr>
                    </w:p>
                    <w:p w14:paraId="0A2C5DC1" w14:textId="77777777" w:rsidR="00553BF2" w:rsidRDefault="00553BF2" w:rsidP="002942D7">
                      <w:pPr>
                        <w:spacing w:after="0" w:line="240" w:lineRule="auto"/>
                        <w:jc w:val="both"/>
                        <w:rPr>
                          <w:rFonts w:ascii="Times New Roman" w:eastAsia="Times New Roman" w:hAnsi="Times New Roman"/>
                          <w:b/>
                          <w:color w:val="000000"/>
                          <w:sz w:val="24"/>
                          <w:szCs w:val="24"/>
                          <w:lang w:eastAsia="fr-FR"/>
                        </w:rPr>
                      </w:pPr>
                      <w:r w:rsidRPr="003D4A27">
                        <w:rPr>
                          <w:rFonts w:ascii="Times New Roman" w:eastAsia="Times New Roman" w:hAnsi="Times New Roman"/>
                          <w:b/>
                          <w:color w:val="000000"/>
                          <w:sz w:val="24"/>
                          <w:szCs w:val="24"/>
                          <w:lang w:eastAsia="fr-FR"/>
                        </w:rPr>
                        <w:t>Au SGH de :</w:t>
                      </w:r>
                    </w:p>
                    <w:p w14:paraId="499640CB" w14:textId="298BE3F4" w:rsidR="00553BF2" w:rsidRPr="00855294" w:rsidRDefault="00553BF2" w:rsidP="00C520BA">
                      <w:pPr>
                        <w:pStyle w:val="Paragraphedeliste"/>
                        <w:spacing w:after="0" w:line="240" w:lineRule="auto"/>
                        <w:ind w:left="0"/>
                        <w:jc w:val="both"/>
                        <w:rPr>
                          <w:rFonts w:ascii="Times New Roman" w:eastAsia="Times New Roman" w:hAnsi="Times New Roman" w:cs="Times New Roman"/>
                          <w:color w:val="000000"/>
                          <w:sz w:val="24"/>
                          <w:szCs w:val="24"/>
                          <w:lang w:eastAsia="fr-FR"/>
                        </w:rPr>
                      </w:pPr>
                      <w:r w:rsidRPr="00855294">
                        <w:rPr>
                          <w:rFonts w:ascii="Times New Roman" w:eastAsia="Times New Roman" w:hAnsi="Times New Roman" w:cs="Times New Roman"/>
                          <w:color w:val="000000"/>
                          <w:sz w:val="24"/>
                          <w:szCs w:val="24"/>
                          <w:lang w:eastAsia="fr-FR"/>
                        </w:rPr>
                        <w:t xml:space="preserve">Compléter </w:t>
                      </w:r>
                      <w:r>
                        <w:rPr>
                          <w:rFonts w:ascii="Times New Roman" w:eastAsia="Times New Roman" w:hAnsi="Times New Roman" w:cs="Times New Roman"/>
                          <w:color w:val="000000"/>
                          <w:sz w:val="24"/>
                          <w:szCs w:val="24"/>
                          <w:lang w:eastAsia="fr-FR"/>
                        </w:rPr>
                        <w:t>le R</w:t>
                      </w:r>
                      <w:r w:rsidRPr="00855294">
                        <w:rPr>
                          <w:rFonts w:ascii="Times New Roman" w:eastAsia="Times New Roman" w:hAnsi="Times New Roman" w:cs="Times New Roman"/>
                          <w:color w:val="000000"/>
                          <w:sz w:val="24"/>
                          <w:szCs w:val="24"/>
                          <w:lang w:eastAsia="fr-FR"/>
                        </w:rPr>
                        <w:t xml:space="preserve">egistre des droits </w:t>
                      </w:r>
                      <w:r>
                        <w:rPr>
                          <w:rFonts w:ascii="Times New Roman" w:eastAsia="Times New Roman" w:hAnsi="Times New Roman" w:cs="Times New Roman"/>
                          <w:color w:val="000000"/>
                          <w:sz w:val="24"/>
                          <w:szCs w:val="24"/>
                          <w:lang w:eastAsia="fr-FR"/>
                        </w:rPr>
                        <w:t xml:space="preserve">pétroliers, </w:t>
                      </w:r>
                      <w:r w:rsidRPr="00855294">
                        <w:rPr>
                          <w:rFonts w:ascii="Times New Roman" w:eastAsia="Times New Roman" w:hAnsi="Times New Roman" w:cs="Times New Roman"/>
                          <w:color w:val="000000"/>
                          <w:sz w:val="24"/>
                          <w:szCs w:val="24"/>
                          <w:lang w:eastAsia="fr-FR"/>
                        </w:rPr>
                        <w:t xml:space="preserve">l’actualiser régulièrement et </w:t>
                      </w:r>
                      <w:r>
                        <w:rPr>
                          <w:rFonts w:ascii="Times New Roman" w:eastAsia="Times New Roman" w:hAnsi="Times New Roman" w:cs="Times New Roman"/>
                          <w:color w:val="000000"/>
                          <w:sz w:val="24"/>
                          <w:szCs w:val="24"/>
                          <w:lang w:eastAsia="fr-FR"/>
                        </w:rPr>
                        <w:t xml:space="preserve">le </w:t>
                      </w:r>
                      <w:r w:rsidRPr="00855294">
                        <w:rPr>
                          <w:rFonts w:ascii="Times New Roman" w:eastAsia="Times New Roman" w:hAnsi="Times New Roman" w:cs="Times New Roman"/>
                          <w:color w:val="000000"/>
                          <w:sz w:val="24"/>
                          <w:szCs w:val="24"/>
                          <w:lang w:eastAsia="fr-FR"/>
                        </w:rPr>
                        <w:t>mettre en ligne pour permettre au public d’accéder aux informations qu’il contient</w:t>
                      </w:r>
                      <w:r>
                        <w:rPr>
                          <w:rFonts w:ascii="Times New Roman" w:eastAsia="Times New Roman" w:hAnsi="Times New Roman" w:cs="Times New Roman"/>
                          <w:color w:val="000000"/>
                          <w:sz w:val="24"/>
                          <w:szCs w:val="24"/>
                          <w:lang w:eastAsia="fr-FR"/>
                        </w:rPr>
                        <w:t>.</w:t>
                      </w:r>
                    </w:p>
                  </w:txbxContent>
                </v:textbox>
                <w10:wrap anchorx="margin"/>
              </v:shape>
            </w:pict>
          </mc:Fallback>
        </mc:AlternateContent>
      </w:r>
      <w:r w:rsidR="000B5866">
        <w:rPr>
          <w:rFonts w:ascii="Times New Roman" w:hAnsi="Times New Roman"/>
        </w:rPr>
        <w:br w:type="page"/>
      </w:r>
    </w:p>
    <w:p w14:paraId="36A0FD50" w14:textId="77777777" w:rsidR="00C579DE" w:rsidRPr="00840E13" w:rsidRDefault="00C579DE" w:rsidP="000738D3">
      <w:pPr>
        <w:pStyle w:val="Titre1"/>
        <w:numPr>
          <w:ilvl w:val="0"/>
          <w:numId w:val="4"/>
        </w:numPr>
        <w:ind w:left="567" w:hanging="425"/>
        <w:rPr>
          <w:rFonts w:ascii="Times New Roman" w:hAnsi="Times New Roman" w:cs="Times New Roman"/>
          <w:bCs/>
          <w:i/>
          <w:iCs/>
          <w:sz w:val="28"/>
          <w:szCs w:val="28"/>
        </w:rPr>
      </w:pPr>
      <w:bookmarkStart w:id="133" w:name="_Toc516047991"/>
      <w:bookmarkStart w:id="134" w:name="_Toc518468076"/>
      <w:r w:rsidRPr="00840E13">
        <w:rPr>
          <w:rFonts w:ascii="Times New Roman" w:hAnsi="Times New Roman" w:cs="Times New Roman"/>
          <w:sz w:val="28"/>
          <w:szCs w:val="28"/>
        </w:rPr>
        <w:lastRenderedPageBreak/>
        <w:t>POLITIQUE DE PUBLICATION DES CONTRATS MINIERS ET PETROLIERS</w:t>
      </w:r>
      <w:bookmarkEnd w:id="133"/>
      <w:bookmarkEnd w:id="134"/>
    </w:p>
    <w:p w14:paraId="5922C48C"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La politique de divulgation des contrats exigée par la Norme ITIE (Exigence 2.4.b) est consacrée en RDC par le Décret du Premier Ministre n° 011/26 du 20 mai 2011 portant obligation de publier tout contrat ayant pour objet les ressources naturelles.</w:t>
      </w:r>
    </w:p>
    <w:p w14:paraId="25DB0A93" w14:textId="77777777" w:rsidR="00C579DE" w:rsidRPr="00840E13" w:rsidRDefault="00C579DE" w:rsidP="00C579DE">
      <w:pPr>
        <w:tabs>
          <w:tab w:val="left" w:pos="720"/>
        </w:tabs>
        <w:spacing w:before="120" w:after="120"/>
        <w:jc w:val="both"/>
        <w:rPr>
          <w:rFonts w:ascii="Times New Roman" w:hAnsi="Times New Roman"/>
          <w:i/>
          <w:sz w:val="24"/>
          <w:szCs w:val="24"/>
        </w:rPr>
      </w:pPr>
      <w:r w:rsidRPr="00840E13">
        <w:rPr>
          <w:rFonts w:ascii="Times New Roman" w:hAnsi="Times New Roman"/>
          <w:sz w:val="24"/>
          <w:szCs w:val="24"/>
        </w:rPr>
        <w:t>Aux termes de l’Article 2 dudit Décret, « </w:t>
      </w:r>
      <w:r w:rsidRPr="00840E13">
        <w:rPr>
          <w:rFonts w:ascii="Times New Roman" w:hAnsi="Times New Roman"/>
          <w:i/>
          <w:sz w:val="24"/>
          <w:szCs w:val="24"/>
        </w:rPr>
        <w:t>Tout contrat conclu entre l'Etat ou une Entreprise du Portefeuille et un ou plusieurs partenaires privés nationaux ou étrangers, de droit privé ou public, et ayant pour objet la recherche, l'exploration ou l'exploitation d'une des ressources naturelles, est publié par le Ministre en charge du secteur duquel relève l'administration de la ressource naturelle concernée dans les soixante (60) jours francs qui suivent la date de son entrée en vigueur.</w:t>
      </w:r>
    </w:p>
    <w:p w14:paraId="5F316977"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i/>
          <w:sz w:val="24"/>
          <w:szCs w:val="24"/>
        </w:rPr>
        <w:t>La publication est faite au Journal Officiel, sur le site Internet du ministère concerné, dans une ou plusieurs revues spécialisées et dans au moins deux quotidiens locaux parmi ceux qui jouissent d'une large diffusion</w:t>
      </w:r>
      <w:r>
        <w:rPr>
          <w:rFonts w:ascii="Times New Roman" w:hAnsi="Times New Roman"/>
          <w:i/>
          <w:sz w:val="24"/>
          <w:szCs w:val="24"/>
        </w:rPr>
        <w:t xml:space="preserve"> </w:t>
      </w:r>
      <w:r w:rsidRPr="00840E13">
        <w:rPr>
          <w:rFonts w:ascii="Times New Roman" w:hAnsi="Times New Roman"/>
          <w:sz w:val="24"/>
          <w:szCs w:val="24"/>
        </w:rPr>
        <w:t>».</w:t>
      </w:r>
    </w:p>
    <w:p w14:paraId="05A7DFB0" w14:textId="77777777" w:rsidR="00C579DE" w:rsidRPr="00840E13" w:rsidRDefault="00C579DE" w:rsidP="00C579DE">
      <w:pPr>
        <w:autoSpaceDE w:val="0"/>
        <w:autoSpaceDN w:val="0"/>
        <w:adjustRightInd w:val="0"/>
        <w:spacing w:after="0"/>
        <w:jc w:val="both"/>
        <w:rPr>
          <w:rFonts w:ascii="Times New Roman" w:hAnsi="Times New Roman"/>
          <w:sz w:val="28"/>
          <w:szCs w:val="28"/>
        </w:rPr>
      </w:pPr>
      <w:r>
        <w:rPr>
          <w:rFonts w:ascii="Times New Roman" w:hAnsi="Times New Roman"/>
          <w:sz w:val="24"/>
          <w:szCs w:val="24"/>
        </w:rPr>
        <w:t xml:space="preserve"> L</w:t>
      </w:r>
      <w:r w:rsidRPr="00840E13">
        <w:rPr>
          <w:rFonts w:ascii="Times New Roman" w:hAnsi="Times New Roman"/>
          <w:sz w:val="24"/>
          <w:szCs w:val="24"/>
        </w:rPr>
        <w:t xml:space="preserve">a substance de ce Décret </w:t>
      </w:r>
      <w:r>
        <w:rPr>
          <w:rFonts w:ascii="Times New Roman" w:hAnsi="Times New Roman"/>
          <w:sz w:val="24"/>
          <w:szCs w:val="24"/>
        </w:rPr>
        <w:t xml:space="preserve"> a été versée</w:t>
      </w:r>
      <w:r w:rsidRPr="00840E13">
        <w:rPr>
          <w:rFonts w:ascii="Times New Roman" w:hAnsi="Times New Roman"/>
          <w:sz w:val="24"/>
          <w:szCs w:val="24"/>
        </w:rPr>
        <w:t xml:space="preserve"> d</w:t>
      </w:r>
      <w:r>
        <w:rPr>
          <w:rFonts w:ascii="Times New Roman" w:hAnsi="Times New Roman"/>
          <w:sz w:val="24"/>
          <w:szCs w:val="24"/>
        </w:rPr>
        <w:t>ans</w:t>
      </w:r>
      <w:r w:rsidRPr="00840E13">
        <w:rPr>
          <w:rFonts w:ascii="Times New Roman" w:hAnsi="Times New Roman"/>
          <w:sz w:val="24"/>
          <w:szCs w:val="24"/>
        </w:rPr>
        <w:t xml:space="preserve"> </w:t>
      </w:r>
      <w:r>
        <w:rPr>
          <w:rFonts w:ascii="Times New Roman" w:hAnsi="Times New Roman"/>
          <w:sz w:val="24"/>
          <w:szCs w:val="24"/>
        </w:rPr>
        <w:t xml:space="preserve">le </w:t>
      </w:r>
      <w:r w:rsidRPr="00840E13">
        <w:rPr>
          <w:rFonts w:ascii="Times New Roman" w:hAnsi="Times New Roman"/>
          <w:sz w:val="24"/>
          <w:szCs w:val="24"/>
        </w:rPr>
        <w:t xml:space="preserve">Code Minier tel que modifié et complété, </w:t>
      </w:r>
      <w:r>
        <w:rPr>
          <w:rFonts w:ascii="Times New Roman" w:hAnsi="Times New Roman"/>
          <w:sz w:val="24"/>
          <w:szCs w:val="24"/>
        </w:rPr>
        <w:t xml:space="preserve">en son </w:t>
      </w:r>
      <w:r w:rsidRPr="00840E13">
        <w:rPr>
          <w:rFonts w:ascii="Times New Roman" w:hAnsi="Times New Roman"/>
          <w:sz w:val="24"/>
          <w:szCs w:val="24"/>
        </w:rPr>
        <w:t>article 7 quater qui stipule : « </w:t>
      </w:r>
      <w:r w:rsidRPr="00840E13">
        <w:rPr>
          <w:rFonts w:ascii="Times New Roman" w:hAnsi="Times New Roman"/>
          <w:i/>
          <w:iCs/>
          <w:color w:val="000000"/>
          <w:sz w:val="24"/>
          <w:szCs w:val="24"/>
        </w:rPr>
        <w:t>Les contrats miniers, leurs annexes et avenants sont publiés au Journal officiel et sur le site web du</w:t>
      </w:r>
      <w:r w:rsidRPr="00840E13">
        <w:rPr>
          <w:rFonts w:ascii="Times New Roman" w:hAnsi="Times New Roman"/>
          <w:sz w:val="24"/>
          <w:szCs w:val="24"/>
        </w:rPr>
        <w:t xml:space="preserve"> </w:t>
      </w:r>
      <w:r w:rsidRPr="00840E13">
        <w:rPr>
          <w:rFonts w:ascii="Times New Roman" w:hAnsi="Times New Roman"/>
          <w:i/>
          <w:iCs/>
          <w:color w:val="000000"/>
          <w:sz w:val="24"/>
          <w:szCs w:val="24"/>
        </w:rPr>
        <w:t>Ministère des Mines endéans soixante jours de la</w:t>
      </w:r>
      <w:r w:rsidRPr="00840E13">
        <w:rPr>
          <w:rFonts w:ascii="Times New Roman" w:hAnsi="Times New Roman"/>
          <w:sz w:val="24"/>
          <w:szCs w:val="24"/>
        </w:rPr>
        <w:t xml:space="preserve"> </w:t>
      </w:r>
      <w:r w:rsidRPr="00840E13">
        <w:rPr>
          <w:rFonts w:ascii="Times New Roman" w:hAnsi="Times New Roman"/>
          <w:i/>
          <w:iCs/>
          <w:color w:val="000000"/>
          <w:sz w:val="24"/>
          <w:szCs w:val="24"/>
        </w:rPr>
        <w:t>date de leur signature</w:t>
      </w:r>
      <w:r>
        <w:rPr>
          <w:rFonts w:ascii="Times New Roman" w:hAnsi="Times New Roman"/>
          <w:i/>
          <w:iCs/>
          <w:color w:val="000000"/>
          <w:sz w:val="24"/>
          <w:szCs w:val="24"/>
        </w:rPr>
        <w:t xml:space="preserve"> </w:t>
      </w:r>
      <w:r w:rsidRPr="00840E13">
        <w:rPr>
          <w:rFonts w:ascii="Times New Roman" w:hAnsi="Times New Roman"/>
          <w:i/>
          <w:iCs/>
          <w:color w:val="000000"/>
          <w:sz w:val="28"/>
          <w:szCs w:val="28"/>
        </w:rPr>
        <w:t xml:space="preserve">».   </w:t>
      </w:r>
    </w:p>
    <w:p w14:paraId="143D142B" w14:textId="77777777" w:rsidR="00C579DE"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Cependant, dans la pratique, cette disposition n’est pas de stricte application</w:t>
      </w:r>
      <w:r>
        <w:rPr>
          <w:rFonts w:ascii="Times New Roman" w:hAnsi="Times New Roman"/>
          <w:sz w:val="24"/>
          <w:szCs w:val="24"/>
        </w:rPr>
        <w:t xml:space="preserve"> dans la mesure où certains contrats ne sont toujours pas publiés, et pour ceux qui sont publiés, le délai de soixante </w:t>
      </w:r>
      <w:r w:rsidR="000B5866">
        <w:rPr>
          <w:rFonts w:ascii="Times New Roman" w:hAnsi="Times New Roman"/>
          <w:sz w:val="24"/>
          <w:szCs w:val="24"/>
        </w:rPr>
        <w:t>jours</w:t>
      </w:r>
      <w:r>
        <w:rPr>
          <w:rFonts w:ascii="Times New Roman" w:hAnsi="Times New Roman"/>
          <w:sz w:val="24"/>
          <w:szCs w:val="24"/>
        </w:rPr>
        <w:t xml:space="preserve"> n’est généralement pas respecté</w:t>
      </w:r>
      <w:r w:rsidRPr="00840E13">
        <w:rPr>
          <w:rFonts w:ascii="Times New Roman" w:hAnsi="Times New Roman"/>
          <w:sz w:val="24"/>
          <w:szCs w:val="24"/>
        </w:rPr>
        <w:t xml:space="preserve">. </w:t>
      </w:r>
    </w:p>
    <w:p w14:paraId="063B7610"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 xml:space="preserve">Dans le cadre des efforts concertés des Organisations de la société civile et du Secrétariat Technique, il a été constaté qu’un certain nombre de contrats miniers, avenants et annexes demeurait non publié à ce jour. Une liste de ces contrats a été dressée et communiquée à la CTCPM, qui est l’organe attitré du Ministère des mines, pour publication. </w:t>
      </w:r>
    </w:p>
    <w:p w14:paraId="322CFF62" w14:textId="77777777" w:rsidR="00C579DE"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En attendant le résultat de cette démarche, la liste en question peut être consultée sur le site de l’ITIE-RDC </w:t>
      </w:r>
      <w:r w:rsidRPr="00935E57">
        <w:rPr>
          <w:rFonts w:ascii="Times New Roman" w:hAnsi="Times New Roman"/>
          <w:sz w:val="24"/>
          <w:szCs w:val="24"/>
        </w:rPr>
        <w:t>(</w:t>
      </w:r>
      <w:hyperlink r:id="rId35" w:history="1">
        <w:r w:rsidRPr="00840E13">
          <w:rPr>
            <w:rStyle w:val="Lienhypertexte"/>
            <w:rFonts w:ascii="Times New Roman" w:hAnsi="Times New Roman"/>
            <w:sz w:val="24"/>
            <w:szCs w:val="24"/>
          </w:rPr>
          <w:t>Liste des contrats non publiés</w:t>
        </w:r>
      </w:hyperlink>
      <w:r w:rsidRPr="00840E13">
        <w:rPr>
          <w:rFonts w:ascii="Times New Roman" w:hAnsi="Times New Roman"/>
          <w:sz w:val="24"/>
          <w:szCs w:val="24"/>
        </w:rPr>
        <w:t>)</w:t>
      </w:r>
      <w:r>
        <w:rPr>
          <w:rFonts w:ascii="Times New Roman" w:hAnsi="Times New Roman"/>
          <w:sz w:val="24"/>
          <w:szCs w:val="24"/>
        </w:rPr>
        <w:t>.</w:t>
      </w:r>
    </w:p>
    <w:p w14:paraId="034E1597" w14:textId="77777777" w:rsidR="00C579DE" w:rsidRPr="000B5866" w:rsidRDefault="00C579DE" w:rsidP="001315A1">
      <w:pPr>
        <w:shd w:val="clear" w:color="auto" w:fill="FFFFFF"/>
        <w:spacing w:line="240" w:lineRule="auto"/>
        <w:jc w:val="both"/>
        <w:rPr>
          <w:rFonts w:ascii="Times New Roman" w:hAnsi="Times New Roman"/>
          <w:sz w:val="24"/>
          <w:szCs w:val="24"/>
        </w:rPr>
      </w:pPr>
      <w:r w:rsidRPr="000B5866">
        <w:rPr>
          <w:rFonts w:ascii="Times New Roman" w:hAnsi="Times New Roman"/>
          <w:sz w:val="24"/>
          <w:szCs w:val="24"/>
        </w:rPr>
        <w:t>A la suite de la publication de cette liste, la Gécamines a transmis au ST les contrats suivants, qui peuvent être consultés sur le site de l’ITIE-RDC:</w:t>
      </w:r>
    </w:p>
    <w:p w14:paraId="659F042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Divina Mining-complet ;</w:t>
      </w:r>
    </w:p>
    <w:p w14:paraId="206FB5F3"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FRETIN CONSTRUCTION (Kalabi) ;</w:t>
      </w:r>
    </w:p>
    <w:p w14:paraId="78A3EAF7"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n° 1439-15759-SG-GC-014 (Sicomines) ;</w:t>
      </w:r>
    </w:p>
    <w:p w14:paraId="4379EEB5"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Contrat d’amodiation Shangolowe pour MM Mining ;</w:t>
      </w:r>
    </w:p>
    <w:p w14:paraId="37C75BA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Convention de JV Minalex-Gécamines-16062016 ;</w:t>
      </w:r>
    </w:p>
    <w:p w14:paraId="76144E4A" w14:textId="77777777" w:rsidR="00C579DE" w:rsidRPr="000B5866" w:rsidRDefault="00C579DE" w:rsidP="000738D3">
      <w:pPr>
        <w:pStyle w:val="Paragraphedeliste"/>
        <w:numPr>
          <w:ilvl w:val="0"/>
          <w:numId w:val="11"/>
        </w:numPr>
        <w:shd w:val="clear" w:color="auto" w:fill="FFFFFF"/>
        <w:spacing w:after="0"/>
        <w:jc w:val="both"/>
        <w:rPr>
          <w:rFonts w:ascii="Times New Roman" w:eastAsia="Calibri" w:hAnsi="Times New Roman" w:cs="Times New Roman"/>
          <w:sz w:val="24"/>
          <w:szCs w:val="24"/>
        </w:rPr>
      </w:pPr>
      <w:r w:rsidRPr="000B5866">
        <w:rPr>
          <w:rFonts w:ascii="Times New Roman" w:eastAsia="Calibri" w:hAnsi="Times New Roman" w:cs="Times New Roman"/>
          <w:sz w:val="24"/>
          <w:szCs w:val="24"/>
        </w:rPr>
        <w:t xml:space="preserve">Convention de JV SOMIDEZ </w:t>
      </w:r>
    </w:p>
    <w:p w14:paraId="040C5C4E" w14:textId="77777777" w:rsidR="00C579DE" w:rsidRPr="00840E13" w:rsidRDefault="00C579DE" w:rsidP="00C579DE">
      <w:pPr>
        <w:tabs>
          <w:tab w:val="left" w:pos="720"/>
        </w:tabs>
        <w:spacing w:before="120" w:after="120"/>
        <w:jc w:val="both"/>
        <w:rPr>
          <w:rFonts w:ascii="Times New Roman" w:hAnsi="Times New Roman"/>
          <w:sz w:val="24"/>
          <w:szCs w:val="24"/>
        </w:rPr>
      </w:pPr>
      <w:r w:rsidRPr="00840E13">
        <w:rPr>
          <w:rFonts w:ascii="Times New Roman" w:hAnsi="Times New Roman"/>
          <w:sz w:val="24"/>
          <w:szCs w:val="24"/>
        </w:rPr>
        <w:t>Les contrats miniers publiés sont disponibles sur le site web du Ministère des Mines au lien suivant :</w:t>
      </w:r>
    </w:p>
    <w:p w14:paraId="693DD3B5" w14:textId="77777777" w:rsidR="00C579DE" w:rsidRDefault="00A81FC8" w:rsidP="00C579DE">
      <w:pPr>
        <w:tabs>
          <w:tab w:val="left" w:pos="720"/>
        </w:tabs>
        <w:spacing w:before="120" w:after="120"/>
        <w:jc w:val="both"/>
        <w:rPr>
          <w:rStyle w:val="Lienhypertexte"/>
          <w:rFonts w:ascii="Times New Roman" w:hAnsi="Times New Roman"/>
        </w:rPr>
      </w:pPr>
      <w:hyperlink r:id="rId36" w:history="1">
        <w:r w:rsidR="00C579DE" w:rsidRPr="00840E13">
          <w:rPr>
            <w:rStyle w:val="Lienhypertexte"/>
            <w:rFonts w:ascii="Times New Roman" w:eastAsia="+mn-ea" w:hAnsi="Times New Roman"/>
            <w:sz w:val="24"/>
            <w:szCs w:val="24"/>
          </w:rPr>
          <w:t>http://mines-rdc.cd/fr/index.php/contrats-des-ressources-naturelles/contrats-miniers</w:t>
        </w:r>
      </w:hyperlink>
      <w:r w:rsidR="00C579DE" w:rsidRPr="00840E13">
        <w:rPr>
          <w:rStyle w:val="Lienhypertexte"/>
          <w:rFonts w:ascii="Times New Roman" w:eastAsia="+mn-ea" w:hAnsi="Times New Roman"/>
          <w:sz w:val="24"/>
          <w:szCs w:val="24"/>
        </w:rPr>
        <w:t xml:space="preserve"> </w:t>
      </w:r>
      <w:r w:rsidR="00C579DE" w:rsidRPr="00840E13">
        <w:rPr>
          <w:rFonts w:ascii="Times New Roman" w:eastAsia="+mn-ea" w:hAnsi="Times New Roman"/>
          <w:sz w:val="24"/>
          <w:szCs w:val="24"/>
        </w:rPr>
        <w:t xml:space="preserve">et sur le site web de l’ITIE-RDC au lien: </w:t>
      </w:r>
      <w:hyperlink r:id="rId37" w:history="1">
        <w:r w:rsidR="00C579DE" w:rsidRPr="00840E13">
          <w:rPr>
            <w:rStyle w:val="Lienhypertexte"/>
            <w:rFonts w:ascii="Times New Roman" w:hAnsi="Times New Roman"/>
          </w:rPr>
          <w:t>http://www.itierdc.net/contrats-miniers/</w:t>
        </w:r>
      </w:hyperlink>
    </w:p>
    <w:p w14:paraId="03EFA983" w14:textId="77777777" w:rsidR="00C579DE" w:rsidRPr="00840E13" w:rsidRDefault="00C579DE" w:rsidP="00C579DE">
      <w:pPr>
        <w:spacing w:after="120"/>
        <w:jc w:val="both"/>
        <w:rPr>
          <w:rFonts w:ascii="Times New Roman" w:hAnsi="Times New Roman"/>
          <w:sz w:val="24"/>
          <w:szCs w:val="24"/>
        </w:rPr>
      </w:pPr>
      <w:r w:rsidRPr="00840E13">
        <w:rPr>
          <w:rFonts w:ascii="Times New Roman" w:hAnsi="Times New Roman"/>
          <w:sz w:val="24"/>
          <w:szCs w:val="24"/>
        </w:rPr>
        <w:t xml:space="preserve">Comme pour le secteur minier, le Décret du Premier Ministre ci-dessus évoqué est aujourd’hui repris dans la loi (Code) des Hydrocarbures en son article 41 qui stipule que les contrats d’hydrocarbures </w:t>
      </w:r>
      <w:r w:rsidRPr="00840E13">
        <w:rPr>
          <w:rFonts w:ascii="Times New Roman" w:hAnsi="Times New Roman"/>
          <w:sz w:val="24"/>
          <w:szCs w:val="24"/>
        </w:rPr>
        <w:lastRenderedPageBreak/>
        <w:t>sont publiés au Journal Officiel de la République Démocratique du Congo et sur le site web du Ministère des Hydrocarbures endéans 60 jours à dater de leur approbation.</w:t>
      </w:r>
    </w:p>
    <w:p w14:paraId="1C46C981" w14:textId="77777777" w:rsidR="00C579DE" w:rsidRPr="00840E13" w:rsidRDefault="00C579DE" w:rsidP="00C579DE">
      <w:pPr>
        <w:jc w:val="both"/>
        <w:rPr>
          <w:rFonts w:ascii="Times New Roman" w:hAnsi="Times New Roman"/>
        </w:rPr>
      </w:pPr>
      <w:r w:rsidRPr="00840E13">
        <w:rPr>
          <w:rFonts w:ascii="Times New Roman" w:hAnsi="Times New Roman"/>
          <w:sz w:val="24"/>
          <w:szCs w:val="24"/>
        </w:rPr>
        <w:t>Et aussi, dans ses dispositions transitoires, le Code d’hydrocarbures dispose en son article 190 : « </w:t>
      </w:r>
      <w:r w:rsidRPr="00840E13">
        <w:rPr>
          <w:rFonts w:ascii="Times New Roman" w:hAnsi="Times New Roman"/>
          <w:i/>
          <w:sz w:val="24"/>
          <w:szCs w:val="24"/>
        </w:rPr>
        <w:t>Dans les 30 jours à compter de la promulgation de cette loi, le Ministre ayant les Hydrocarbures dans ses attributions rend publique la liste de tous les contrats d’hydrocarbures en cours de validité</w:t>
      </w:r>
      <w:r w:rsidRPr="00840E13">
        <w:rPr>
          <w:rFonts w:ascii="Times New Roman" w:hAnsi="Times New Roman"/>
          <w:sz w:val="24"/>
          <w:szCs w:val="24"/>
        </w:rPr>
        <w:t> ».</w:t>
      </w:r>
      <w:r>
        <w:rPr>
          <w:rFonts w:ascii="Times New Roman" w:hAnsi="Times New Roman"/>
          <w:sz w:val="24"/>
          <w:szCs w:val="24"/>
        </w:rPr>
        <w:t xml:space="preserve"> </w:t>
      </w:r>
    </w:p>
    <w:p w14:paraId="62AD1534" w14:textId="77777777" w:rsidR="00157F17" w:rsidRDefault="00C579DE" w:rsidP="00C579DE">
      <w:pPr>
        <w:tabs>
          <w:tab w:val="left" w:pos="720"/>
        </w:tabs>
        <w:spacing w:before="120" w:after="120"/>
        <w:jc w:val="both"/>
        <w:rPr>
          <w:rStyle w:val="Lienhypertexte"/>
          <w:rFonts w:ascii="Times New Roman" w:hAnsi="Times New Roman"/>
          <w:sz w:val="24"/>
          <w:szCs w:val="24"/>
        </w:rPr>
      </w:pPr>
      <w:r w:rsidRPr="00840E13">
        <w:rPr>
          <w:rFonts w:ascii="Times New Roman" w:hAnsi="Times New Roman"/>
          <w:sz w:val="24"/>
          <w:szCs w:val="24"/>
        </w:rPr>
        <w:t xml:space="preserve">Concernant </w:t>
      </w:r>
      <w:r>
        <w:rPr>
          <w:rFonts w:ascii="Times New Roman" w:hAnsi="Times New Roman"/>
          <w:sz w:val="24"/>
          <w:szCs w:val="24"/>
        </w:rPr>
        <w:t>la pratique de publication des contrats</w:t>
      </w:r>
      <w:r w:rsidRPr="00840E13">
        <w:rPr>
          <w:rFonts w:ascii="Times New Roman" w:hAnsi="Times New Roman"/>
          <w:sz w:val="24"/>
          <w:szCs w:val="24"/>
        </w:rPr>
        <w:t>,</w:t>
      </w:r>
      <w:r>
        <w:rPr>
          <w:rFonts w:ascii="Times New Roman" w:hAnsi="Times New Roman"/>
          <w:sz w:val="24"/>
          <w:szCs w:val="24"/>
        </w:rPr>
        <w:t xml:space="preserve"> le site du Ministère des Hydrocarbures, bien qu’opérationnel maintenant, n’est pas à jour. Ainsi, pour se conformer à la Norme ITIE, les </w:t>
      </w:r>
      <w:r w:rsidRPr="00840E13">
        <w:rPr>
          <w:rFonts w:ascii="Times New Roman" w:hAnsi="Times New Roman"/>
        </w:rPr>
        <w:t>contrats</w:t>
      </w:r>
      <w:r w:rsidRPr="00840E13">
        <w:rPr>
          <w:rStyle w:val="Lienhypertexte"/>
          <w:rFonts w:ascii="Times New Roman" w:hAnsi="Times New Roman"/>
          <w:sz w:val="24"/>
          <w:szCs w:val="24"/>
        </w:rPr>
        <w:t xml:space="preserve"> </w:t>
      </w:r>
      <w:r>
        <w:rPr>
          <w:rStyle w:val="Lienhypertexte"/>
          <w:rFonts w:ascii="Times New Roman" w:hAnsi="Times New Roman"/>
          <w:sz w:val="24"/>
          <w:szCs w:val="24"/>
        </w:rPr>
        <w:t xml:space="preserve">pétroliers </w:t>
      </w:r>
      <w:r w:rsidRPr="00840E13">
        <w:rPr>
          <w:rFonts w:ascii="Times New Roman" w:hAnsi="Times New Roman"/>
          <w:sz w:val="24"/>
          <w:szCs w:val="24"/>
        </w:rPr>
        <w:t>ainsi que leurs avenants sont publiés et accessibles sur le site web de l’ITIE-RDC</w:t>
      </w:r>
      <w:r>
        <w:rPr>
          <w:rFonts w:ascii="Times New Roman" w:hAnsi="Times New Roman"/>
          <w:sz w:val="24"/>
          <w:szCs w:val="24"/>
        </w:rPr>
        <w:t xml:space="preserve"> : Certains </w:t>
      </w:r>
      <w:r w:rsidRPr="00840E13">
        <w:rPr>
          <w:rFonts w:ascii="Times New Roman" w:hAnsi="Times New Roman"/>
          <w:sz w:val="24"/>
          <w:szCs w:val="24"/>
        </w:rPr>
        <w:t>de</w:t>
      </w:r>
      <w:r>
        <w:rPr>
          <w:rFonts w:ascii="Times New Roman" w:hAnsi="Times New Roman"/>
          <w:sz w:val="24"/>
          <w:szCs w:val="24"/>
        </w:rPr>
        <w:t xml:space="preserve"> ces</w:t>
      </w:r>
      <w:r w:rsidRPr="00840E13">
        <w:rPr>
          <w:rFonts w:ascii="Times New Roman" w:hAnsi="Times New Roman"/>
          <w:sz w:val="24"/>
          <w:szCs w:val="24"/>
        </w:rPr>
        <w:t xml:space="preserve"> contrats </w:t>
      </w:r>
      <w:r>
        <w:rPr>
          <w:rFonts w:ascii="Times New Roman" w:hAnsi="Times New Roman"/>
          <w:sz w:val="24"/>
          <w:szCs w:val="24"/>
        </w:rPr>
        <w:t>sont aussi</w:t>
      </w:r>
      <w:r w:rsidRPr="00840E13">
        <w:rPr>
          <w:rFonts w:ascii="Times New Roman" w:hAnsi="Times New Roman"/>
          <w:sz w:val="24"/>
          <w:szCs w:val="24"/>
        </w:rPr>
        <w:t xml:space="preserve"> publié</w:t>
      </w:r>
      <w:r>
        <w:rPr>
          <w:rFonts w:ascii="Times New Roman" w:hAnsi="Times New Roman"/>
          <w:sz w:val="24"/>
          <w:szCs w:val="24"/>
        </w:rPr>
        <w:t>s</w:t>
      </w:r>
      <w:r w:rsidRPr="00840E13">
        <w:rPr>
          <w:rFonts w:ascii="Times New Roman" w:hAnsi="Times New Roman"/>
          <w:sz w:val="24"/>
          <w:szCs w:val="24"/>
        </w:rPr>
        <w:t xml:space="preserve"> sur le site web du Ministère des mines : </w:t>
      </w:r>
      <w:hyperlink r:id="rId38" w:history="1">
        <w:r w:rsidRPr="00840E13">
          <w:rPr>
            <w:rStyle w:val="Lienhypertexte"/>
            <w:rFonts w:ascii="Times New Roman" w:eastAsia="+mn-ea" w:hAnsi="Times New Roman"/>
            <w:sz w:val="24"/>
            <w:szCs w:val="24"/>
          </w:rPr>
          <w:t>http://mines-rdc.cd/fr/index.php/contrats-des-ressources-naturelles/contrats-petroliers</w:t>
        </w:r>
      </w:hyperlink>
      <w:r w:rsidRPr="00840E13">
        <w:rPr>
          <w:rFonts w:ascii="Times New Roman" w:hAnsi="Times New Roman"/>
        </w:rPr>
        <w:t xml:space="preserve">, </w:t>
      </w:r>
      <w:r w:rsidRPr="00840E13">
        <w:rPr>
          <w:rFonts w:ascii="Times New Roman" w:hAnsi="Times New Roman"/>
          <w:sz w:val="24"/>
          <w:szCs w:val="24"/>
        </w:rPr>
        <w:t xml:space="preserve"> : </w:t>
      </w:r>
      <w:hyperlink r:id="rId39" w:history="1">
        <w:r w:rsidRPr="00840E13">
          <w:rPr>
            <w:rStyle w:val="Lienhypertexte"/>
            <w:rFonts w:ascii="Times New Roman" w:hAnsi="Times New Roman"/>
            <w:sz w:val="24"/>
            <w:szCs w:val="24"/>
          </w:rPr>
          <w:t>Contrats pétroliers et avenants</w:t>
        </w:r>
      </w:hyperlink>
    </w:p>
    <w:p w14:paraId="7A9BC04D" w14:textId="0CA7EABA" w:rsidR="00110AE7" w:rsidRDefault="00110AE7" w:rsidP="00C579DE">
      <w:pPr>
        <w:tabs>
          <w:tab w:val="left" w:pos="720"/>
        </w:tabs>
        <w:spacing w:before="120" w:after="120"/>
        <w:jc w:val="both"/>
        <w:rPr>
          <w:rStyle w:val="Lienhypertexte"/>
          <w:rFonts w:ascii="Times New Roman" w:hAnsi="Times New Roman"/>
          <w:sz w:val="24"/>
          <w:szCs w:val="24"/>
        </w:rPr>
      </w:pPr>
      <w:r>
        <w:rPr>
          <w:rFonts w:ascii="Times New Roman" w:hAnsi="Times New Roman"/>
          <w:noProof/>
          <w:color w:val="0000FF"/>
          <w:sz w:val="24"/>
          <w:szCs w:val="24"/>
          <w:u w:val="single"/>
          <w:lang w:eastAsia="fr-FR"/>
        </w:rPr>
        <mc:AlternateContent>
          <mc:Choice Requires="wps">
            <w:drawing>
              <wp:anchor distT="0" distB="0" distL="114300" distR="114300" simplePos="0" relativeHeight="251670528" behindDoc="0" locked="0" layoutInCell="1" allowOverlap="1" wp14:anchorId="20E49892" wp14:editId="67EF7C77">
                <wp:simplePos x="0" y="0"/>
                <wp:positionH relativeFrom="column">
                  <wp:posOffset>-13970</wp:posOffset>
                </wp:positionH>
                <wp:positionV relativeFrom="paragraph">
                  <wp:posOffset>137795</wp:posOffset>
                </wp:positionV>
                <wp:extent cx="6176963" cy="1495425"/>
                <wp:effectExtent l="0" t="0" r="14605" b="28575"/>
                <wp:wrapNone/>
                <wp:docPr id="22" name="Zone de texte 22"/>
                <wp:cNvGraphicFramePr/>
                <a:graphic xmlns:a="http://schemas.openxmlformats.org/drawingml/2006/main">
                  <a:graphicData uri="http://schemas.microsoft.com/office/word/2010/wordprocessingShape">
                    <wps:wsp>
                      <wps:cNvSpPr txBox="1"/>
                      <wps:spPr>
                        <a:xfrm>
                          <a:off x="0" y="0"/>
                          <a:ext cx="6176963" cy="1495425"/>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6E4B9E4" w14:textId="0165F32D" w:rsidR="00553BF2" w:rsidRDefault="00553BF2" w:rsidP="00110AE7">
                            <w:pPr>
                              <w:spacing w:after="0" w:line="240" w:lineRule="auto"/>
                              <w:jc w:val="both"/>
                              <w:rPr>
                                <w:rFonts w:ascii="Times New Roman" w:eastAsia="Times New Roman" w:hAnsi="Times New Roman"/>
                                <w:b/>
                                <w:color w:val="1F3864" w:themeColor="accent5" w:themeShade="80"/>
                                <w:sz w:val="24"/>
                                <w:szCs w:val="24"/>
                                <w:u w:val="single"/>
                                <w:lang w:eastAsia="fr-FR"/>
                              </w:rPr>
                            </w:pPr>
                            <w:r w:rsidRPr="00110AE7">
                              <w:rPr>
                                <w:rFonts w:ascii="Times New Roman" w:eastAsia="Times New Roman" w:hAnsi="Times New Roman"/>
                                <w:b/>
                                <w:color w:val="1F3864" w:themeColor="accent5" w:themeShade="80"/>
                                <w:sz w:val="24"/>
                                <w:szCs w:val="24"/>
                                <w:u w:val="single"/>
                                <w:lang w:eastAsia="fr-FR"/>
                              </w:rPr>
                              <w:t>Recommandation</w:t>
                            </w:r>
                            <w:r w:rsidRPr="00D256CC">
                              <w:rPr>
                                <w:rFonts w:ascii="Times New Roman" w:eastAsia="Times New Roman" w:hAnsi="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56FCAAD" w14:textId="77777777" w:rsidR="00553BF2" w:rsidRPr="00110AE7" w:rsidRDefault="00553BF2" w:rsidP="00110AE7">
                            <w:pPr>
                              <w:spacing w:after="0" w:line="240" w:lineRule="auto"/>
                              <w:jc w:val="both"/>
                              <w:rPr>
                                <w:rFonts w:ascii="Times New Roman" w:eastAsia="Times New Roman" w:hAnsi="Times New Roman"/>
                                <w:b/>
                                <w:color w:val="1F3864" w:themeColor="accent5" w:themeShade="80"/>
                                <w:sz w:val="24"/>
                                <w:szCs w:val="24"/>
                                <w:u w:val="single"/>
                                <w:lang w:eastAsia="fr-FR"/>
                              </w:rPr>
                            </w:pPr>
                          </w:p>
                          <w:p w14:paraId="6652A499" w14:textId="5C0C20A8" w:rsidR="00553BF2" w:rsidRPr="00110AE7" w:rsidRDefault="00553BF2" w:rsidP="00110AE7">
                            <w:pPr>
                              <w:spacing w:after="0" w:line="360" w:lineRule="auto"/>
                              <w:jc w:val="both"/>
                              <w:rPr>
                                <w:rFonts w:ascii="Times New Roman" w:eastAsia="Times New Roman" w:hAnsi="Times New Roman"/>
                                <w:color w:val="3B3838" w:themeColor="background2" w:themeShade="40"/>
                                <w:sz w:val="24"/>
                                <w:szCs w:val="24"/>
                                <w:lang w:eastAsia="fr-FR"/>
                              </w:rPr>
                            </w:pPr>
                            <w:r w:rsidRPr="00110AE7">
                              <w:rPr>
                                <w:rFonts w:ascii="Times New Roman" w:eastAsia="Times New Roman" w:hAnsi="Times New Roman"/>
                                <w:b/>
                                <w:color w:val="3B3838" w:themeColor="background2" w:themeShade="40"/>
                                <w:sz w:val="24"/>
                                <w:szCs w:val="24"/>
                                <w:lang w:eastAsia="fr-FR"/>
                              </w:rPr>
                              <w:t>Aux Ministères du Portefeuille, des Mines et des Hydrocarbures de </w:t>
                            </w:r>
                            <w:r w:rsidRPr="00110AE7">
                              <w:rPr>
                                <w:rFonts w:ascii="Times New Roman" w:eastAsia="Times New Roman" w:hAnsi="Times New Roman"/>
                                <w:color w:val="3B3838" w:themeColor="background2" w:themeShade="40"/>
                                <w:sz w:val="24"/>
                                <w:szCs w:val="24"/>
                                <w:lang w:eastAsia="fr-FR"/>
                              </w:rPr>
                              <w:t xml:space="preserve">: </w:t>
                            </w:r>
                          </w:p>
                          <w:p w14:paraId="0B8180D0" w14:textId="775C4FF0" w:rsidR="00553BF2" w:rsidRPr="00110AE7" w:rsidRDefault="00553BF2" w:rsidP="00110AE7">
                            <w:pPr>
                              <w:spacing w:after="0" w:line="240" w:lineRule="auto"/>
                              <w:ind w:left="66"/>
                              <w:jc w:val="both"/>
                              <w:rPr>
                                <w:rFonts w:ascii="Times New Roman" w:hAnsi="Times New Roman"/>
                                <w:color w:val="3B3838" w:themeColor="background2" w:themeShade="40"/>
                                <w:sz w:val="24"/>
                                <w:szCs w:val="24"/>
                              </w:rPr>
                            </w:pPr>
                            <w:r w:rsidRPr="00110AE7">
                              <w:rPr>
                                <w:rFonts w:ascii="Times New Roman" w:eastAsia="Times New Roman" w:hAnsi="Times New Roman"/>
                                <w:color w:val="3B3838" w:themeColor="background2" w:themeShade="40"/>
                                <w:sz w:val="24"/>
                                <w:szCs w:val="24"/>
                                <w:lang w:eastAsia="fr-FR"/>
                              </w:rPr>
                              <w:t xml:space="preserve">Veiller de manière particulière au respect des articles </w:t>
                            </w:r>
                            <w:r w:rsidRPr="00110AE7">
                              <w:rPr>
                                <w:rFonts w:ascii="Times New Roman" w:hAnsi="Times New Roman"/>
                                <w:color w:val="3B3838" w:themeColor="background2" w:themeShade="40"/>
                                <w:sz w:val="24"/>
                                <w:szCs w:val="24"/>
                              </w:rPr>
                              <w:t>7 quater</w:t>
                            </w:r>
                            <w:r w:rsidRPr="00110AE7">
                              <w:rPr>
                                <w:rFonts w:ascii="Times New Roman" w:eastAsia="Times New Roman" w:hAnsi="Times New Roman"/>
                                <w:color w:val="3B3838" w:themeColor="background2" w:themeShade="40"/>
                                <w:sz w:val="24"/>
                                <w:szCs w:val="24"/>
                                <w:lang w:eastAsia="fr-FR"/>
                              </w:rPr>
                              <w:t xml:space="preserve"> du </w:t>
                            </w:r>
                            <w:r w:rsidRPr="00110AE7">
                              <w:rPr>
                                <w:rFonts w:ascii="Times New Roman" w:hAnsi="Times New Roman"/>
                                <w:color w:val="3B3838" w:themeColor="background2" w:themeShade="40"/>
                                <w:sz w:val="24"/>
                                <w:szCs w:val="24"/>
                              </w:rPr>
                              <w:t>Code Minier et 41 du Code d’Hydrocarbures qui obligent la publication d</w:t>
                            </w:r>
                            <w:r w:rsidRPr="00110AE7">
                              <w:rPr>
                                <w:rFonts w:ascii="Times New Roman" w:hAnsi="Times New Roman"/>
                                <w:iCs/>
                                <w:color w:val="3B3838" w:themeColor="background2" w:themeShade="40"/>
                                <w:sz w:val="24"/>
                                <w:szCs w:val="24"/>
                              </w:rPr>
                              <w:t>es contrats miniers et pétroliers, leurs annexes et avenants au Journal officiel et sur les sites web des Ministères concernés endéans soixante jours de la</w:t>
                            </w:r>
                            <w:r w:rsidRPr="00110AE7">
                              <w:rPr>
                                <w:rFonts w:ascii="Times New Roman" w:hAnsi="Times New Roman"/>
                                <w:color w:val="3B3838" w:themeColor="background2" w:themeShade="40"/>
                                <w:sz w:val="24"/>
                                <w:szCs w:val="24"/>
                              </w:rPr>
                              <w:t xml:space="preserve"> </w:t>
                            </w:r>
                            <w:r w:rsidRPr="00110AE7">
                              <w:rPr>
                                <w:rFonts w:ascii="Times New Roman" w:hAnsi="Times New Roman"/>
                                <w:iCs/>
                                <w:color w:val="3B3838" w:themeColor="background2" w:themeShade="40"/>
                                <w:sz w:val="24"/>
                                <w:szCs w:val="24"/>
                              </w:rPr>
                              <w:t xml:space="preserve">date de leur signature.   </w:t>
                            </w:r>
                          </w:p>
                          <w:p w14:paraId="12FC3E5E" w14:textId="77777777" w:rsidR="00553BF2" w:rsidRDefault="00553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49892" id="Zone de texte 22" o:spid="_x0000_s1029" type="#_x0000_t202" style="position:absolute;left:0;text-align:left;margin-left:-1.1pt;margin-top:10.85pt;width:486.4pt;height:117.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" fillcolor="#deeaf6 [660]" strokecolor="#deeaf6 [660]" strokeweight=".5pt">
                <v:textbox>
                  <w:txbxContent>
                    <w:p w14:paraId="76E4B9E4" w14:textId="0165F32D" w:rsidR="00553BF2" w:rsidRDefault="00553BF2" w:rsidP="00110AE7">
                      <w:pPr>
                        <w:spacing w:after="0" w:line="240" w:lineRule="auto"/>
                        <w:jc w:val="both"/>
                        <w:rPr>
                          <w:rFonts w:ascii="Times New Roman" w:eastAsia="Times New Roman" w:hAnsi="Times New Roman"/>
                          <w:b/>
                          <w:color w:val="1F3864" w:themeColor="accent5" w:themeShade="80"/>
                          <w:sz w:val="24"/>
                          <w:szCs w:val="24"/>
                          <w:u w:val="single"/>
                          <w:lang w:eastAsia="fr-FR"/>
                        </w:rPr>
                      </w:pPr>
                      <w:r w:rsidRPr="00110AE7">
                        <w:rPr>
                          <w:rFonts w:ascii="Times New Roman" w:eastAsia="Times New Roman" w:hAnsi="Times New Roman"/>
                          <w:b/>
                          <w:color w:val="1F3864" w:themeColor="accent5" w:themeShade="80"/>
                          <w:sz w:val="24"/>
                          <w:szCs w:val="24"/>
                          <w:u w:val="single"/>
                          <w:lang w:eastAsia="fr-FR"/>
                        </w:rPr>
                        <w:t>Recommandation</w:t>
                      </w:r>
                      <w:r w:rsidRPr="00D256CC">
                        <w:rPr>
                          <w:rFonts w:ascii="Times New Roman" w:eastAsia="Times New Roman" w:hAnsi="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356FCAAD" w14:textId="77777777" w:rsidR="00553BF2" w:rsidRPr="00110AE7" w:rsidRDefault="00553BF2" w:rsidP="00110AE7">
                      <w:pPr>
                        <w:spacing w:after="0" w:line="240" w:lineRule="auto"/>
                        <w:jc w:val="both"/>
                        <w:rPr>
                          <w:rFonts w:ascii="Times New Roman" w:eastAsia="Times New Roman" w:hAnsi="Times New Roman"/>
                          <w:b/>
                          <w:color w:val="1F3864" w:themeColor="accent5" w:themeShade="80"/>
                          <w:sz w:val="24"/>
                          <w:szCs w:val="24"/>
                          <w:u w:val="single"/>
                          <w:lang w:eastAsia="fr-FR"/>
                        </w:rPr>
                      </w:pPr>
                    </w:p>
                    <w:p w14:paraId="6652A499" w14:textId="5C0C20A8" w:rsidR="00553BF2" w:rsidRPr="00110AE7" w:rsidRDefault="00553BF2" w:rsidP="00110AE7">
                      <w:pPr>
                        <w:spacing w:after="0" w:line="360" w:lineRule="auto"/>
                        <w:jc w:val="both"/>
                        <w:rPr>
                          <w:rFonts w:ascii="Times New Roman" w:eastAsia="Times New Roman" w:hAnsi="Times New Roman"/>
                          <w:color w:val="3B3838" w:themeColor="background2" w:themeShade="40"/>
                          <w:sz w:val="24"/>
                          <w:szCs w:val="24"/>
                          <w:lang w:eastAsia="fr-FR"/>
                        </w:rPr>
                      </w:pPr>
                      <w:r w:rsidRPr="00110AE7">
                        <w:rPr>
                          <w:rFonts w:ascii="Times New Roman" w:eastAsia="Times New Roman" w:hAnsi="Times New Roman"/>
                          <w:b/>
                          <w:color w:val="3B3838" w:themeColor="background2" w:themeShade="40"/>
                          <w:sz w:val="24"/>
                          <w:szCs w:val="24"/>
                          <w:lang w:eastAsia="fr-FR"/>
                        </w:rPr>
                        <w:t>Aux Ministères du Portefeuille, des Mines et des Hydrocarbures de </w:t>
                      </w:r>
                      <w:r w:rsidRPr="00110AE7">
                        <w:rPr>
                          <w:rFonts w:ascii="Times New Roman" w:eastAsia="Times New Roman" w:hAnsi="Times New Roman"/>
                          <w:color w:val="3B3838" w:themeColor="background2" w:themeShade="40"/>
                          <w:sz w:val="24"/>
                          <w:szCs w:val="24"/>
                          <w:lang w:eastAsia="fr-FR"/>
                        </w:rPr>
                        <w:t xml:space="preserve">: </w:t>
                      </w:r>
                    </w:p>
                    <w:p w14:paraId="0B8180D0" w14:textId="775C4FF0" w:rsidR="00553BF2" w:rsidRPr="00110AE7" w:rsidRDefault="00553BF2" w:rsidP="00110AE7">
                      <w:pPr>
                        <w:spacing w:after="0" w:line="240" w:lineRule="auto"/>
                        <w:ind w:left="66"/>
                        <w:jc w:val="both"/>
                        <w:rPr>
                          <w:rFonts w:ascii="Times New Roman" w:hAnsi="Times New Roman"/>
                          <w:color w:val="3B3838" w:themeColor="background2" w:themeShade="40"/>
                          <w:sz w:val="24"/>
                          <w:szCs w:val="24"/>
                        </w:rPr>
                      </w:pPr>
                      <w:r w:rsidRPr="00110AE7">
                        <w:rPr>
                          <w:rFonts w:ascii="Times New Roman" w:eastAsia="Times New Roman" w:hAnsi="Times New Roman"/>
                          <w:color w:val="3B3838" w:themeColor="background2" w:themeShade="40"/>
                          <w:sz w:val="24"/>
                          <w:szCs w:val="24"/>
                          <w:lang w:eastAsia="fr-FR"/>
                        </w:rPr>
                        <w:t xml:space="preserve">Veiller de manière particulière au respect des articles </w:t>
                      </w:r>
                      <w:r w:rsidRPr="00110AE7">
                        <w:rPr>
                          <w:rFonts w:ascii="Times New Roman" w:hAnsi="Times New Roman"/>
                          <w:color w:val="3B3838" w:themeColor="background2" w:themeShade="40"/>
                          <w:sz w:val="24"/>
                          <w:szCs w:val="24"/>
                        </w:rPr>
                        <w:t>7 quater</w:t>
                      </w:r>
                      <w:r w:rsidRPr="00110AE7">
                        <w:rPr>
                          <w:rFonts w:ascii="Times New Roman" w:eastAsia="Times New Roman" w:hAnsi="Times New Roman"/>
                          <w:color w:val="3B3838" w:themeColor="background2" w:themeShade="40"/>
                          <w:sz w:val="24"/>
                          <w:szCs w:val="24"/>
                          <w:lang w:eastAsia="fr-FR"/>
                        </w:rPr>
                        <w:t xml:space="preserve"> du </w:t>
                      </w:r>
                      <w:r w:rsidRPr="00110AE7">
                        <w:rPr>
                          <w:rFonts w:ascii="Times New Roman" w:hAnsi="Times New Roman"/>
                          <w:color w:val="3B3838" w:themeColor="background2" w:themeShade="40"/>
                          <w:sz w:val="24"/>
                          <w:szCs w:val="24"/>
                        </w:rPr>
                        <w:t>Code Minier et 41 du Code d’Hydrocarbures qui obligent la publication d</w:t>
                      </w:r>
                      <w:r w:rsidRPr="00110AE7">
                        <w:rPr>
                          <w:rFonts w:ascii="Times New Roman" w:hAnsi="Times New Roman"/>
                          <w:iCs/>
                          <w:color w:val="3B3838" w:themeColor="background2" w:themeShade="40"/>
                          <w:sz w:val="24"/>
                          <w:szCs w:val="24"/>
                        </w:rPr>
                        <w:t>es contrats miniers et pétroliers, leurs annexes et avenants au Journal officiel et sur les sites web des Ministères concernés endéans soixante jours de la</w:t>
                      </w:r>
                      <w:r w:rsidRPr="00110AE7">
                        <w:rPr>
                          <w:rFonts w:ascii="Times New Roman" w:hAnsi="Times New Roman"/>
                          <w:color w:val="3B3838" w:themeColor="background2" w:themeShade="40"/>
                          <w:sz w:val="24"/>
                          <w:szCs w:val="24"/>
                        </w:rPr>
                        <w:t xml:space="preserve"> </w:t>
                      </w:r>
                      <w:r w:rsidRPr="00110AE7">
                        <w:rPr>
                          <w:rFonts w:ascii="Times New Roman" w:hAnsi="Times New Roman"/>
                          <w:iCs/>
                          <w:color w:val="3B3838" w:themeColor="background2" w:themeShade="40"/>
                          <w:sz w:val="24"/>
                          <w:szCs w:val="24"/>
                        </w:rPr>
                        <w:t xml:space="preserve">date de leur signature.   </w:t>
                      </w:r>
                    </w:p>
                    <w:p w14:paraId="12FC3E5E" w14:textId="77777777" w:rsidR="00553BF2" w:rsidRDefault="00553BF2"/>
                  </w:txbxContent>
                </v:textbox>
              </v:shape>
            </w:pict>
          </mc:Fallback>
        </mc:AlternateContent>
      </w:r>
    </w:p>
    <w:p w14:paraId="251366B3" w14:textId="602F5372" w:rsidR="00691D72" w:rsidRPr="009520BE" w:rsidRDefault="00157F17" w:rsidP="000738D3">
      <w:pPr>
        <w:pStyle w:val="Titre1"/>
        <w:numPr>
          <w:ilvl w:val="0"/>
          <w:numId w:val="4"/>
        </w:numPr>
        <w:ind w:left="426" w:hanging="425"/>
        <w:rPr>
          <w:rFonts w:ascii="Times New Roman" w:hAnsi="Times New Roman" w:cs="Times New Roman"/>
          <w:b/>
        </w:rPr>
      </w:pPr>
      <w:r>
        <w:rPr>
          <w:rStyle w:val="Lienhypertexte"/>
          <w:rFonts w:ascii="Times New Roman" w:hAnsi="Times New Roman"/>
          <w:sz w:val="24"/>
          <w:szCs w:val="24"/>
        </w:rPr>
        <w:br w:type="page"/>
      </w:r>
      <w:bookmarkStart w:id="135" w:name="_Toc516764331"/>
      <w:bookmarkStart w:id="136" w:name="_Toc518468077"/>
      <w:r w:rsidR="00B41722" w:rsidRPr="00691D72">
        <w:rPr>
          <w:rFonts w:ascii="Times New Roman" w:hAnsi="Times New Roman" w:cs="Times New Roman"/>
          <w:caps w:val="0"/>
          <w:sz w:val="28"/>
          <w:szCs w:val="28"/>
        </w:rPr>
        <w:lastRenderedPageBreak/>
        <w:t>PROPRIETE REELLE</w:t>
      </w:r>
      <w:bookmarkEnd w:id="135"/>
      <w:bookmarkEnd w:id="136"/>
    </w:p>
    <w:p w14:paraId="7457AFB3" w14:textId="22402E85" w:rsidR="009520BE" w:rsidRPr="008E38DE" w:rsidRDefault="009520BE" w:rsidP="00D6058E">
      <w:pPr>
        <w:pStyle w:val="Titre2"/>
        <w:ind w:left="142"/>
        <w:rPr>
          <w:b/>
        </w:rPr>
      </w:pPr>
      <w:bookmarkStart w:id="137" w:name="_Toc518468078"/>
      <w:r w:rsidRPr="008E38DE">
        <w:rPr>
          <w:rStyle w:val="Lienhypertexte"/>
          <w:rFonts w:ascii="Times New Roman" w:hAnsi="Times New Roman"/>
          <w:b/>
          <w:color w:val="5B9BD5" w:themeColor="accent1"/>
          <w:sz w:val="24"/>
          <w:szCs w:val="24"/>
          <w:u w:val="none"/>
        </w:rPr>
        <w:t>V.1. C</w:t>
      </w:r>
      <w:r w:rsidR="008E38DE" w:rsidRPr="008E38DE">
        <w:rPr>
          <w:rStyle w:val="Lienhypertexte"/>
          <w:rFonts w:ascii="Times New Roman" w:hAnsi="Times New Roman"/>
          <w:b/>
          <w:caps w:val="0"/>
          <w:color w:val="5B9BD5" w:themeColor="accent1"/>
          <w:sz w:val="24"/>
          <w:szCs w:val="24"/>
          <w:u w:val="none"/>
        </w:rPr>
        <w:t>ontexte</w:t>
      </w:r>
      <w:bookmarkEnd w:id="137"/>
    </w:p>
    <w:p w14:paraId="62FC5B97" w14:textId="77777777" w:rsidR="00691D72"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En République Démocratique du Congo (RDC), la divulgation de la propriété réelle est aujourd’hui entrée dans la pratique courante des entreprises au même titre que la divulgation de toutes les autres informations, financières et contextuelles, requises par la Norme ITIE</w:t>
      </w:r>
      <w:r>
        <w:rPr>
          <w:rFonts w:ascii="Times New Roman" w:hAnsi="Times New Roman"/>
          <w:sz w:val="24"/>
          <w:szCs w:val="24"/>
        </w:rPr>
        <w:t>, bien sûr qu’il se pose encore un problème d’exhaustivité comme le montre le tableau ci-dessous</w:t>
      </w:r>
      <w:r w:rsidRPr="00E72FDF">
        <w:rPr>
          <w:rFonts w:ascii="Times New Roman" w:hAnsi="Times New Roman"/>
          <w:sz w:val="24"/>
          <w:szCs w:val="24"/>
        </w:rPr>
        <w:t xml:space="preserve">. </w:t>
      </w:r>
    </w:p>
    <w:p w14:paraId="0652898C" w14:textId="77777777" w:rsidR="00691D72" w:rsidRDefault="00691D72" w:rsidP="00D6058E">
      <w:pPr>
        <w:spacing w:line="276" w:lineRule="auto"/>
        <w:ind w:left="142"/>
        <w:jc w:val="both"/>
        <w:rPr>
          <w:rFonts w:ascii="Times New Roman" w:hAnsi="Times New Roman"/>
          <w:sz w:val="24"/>
          <w:szCs w:val="24"/>
        </w:rPr>
      </w:pPr>
      <w:r>
        <w:rPr>
          <w:rFonts w:ascii="Times New Roman" w:hAnsi="Times New Roman"/>
          <w:sz w:val="24"/>
          <w:szCs w:val="24"/>
        </w:rPr>
        <w:t>L</w:t>
      </w:r>
      <w:r w:rsidRPr="00E72FDF">
        <w:rPr>
          <w:rFonts w:ascii="Times New Roman" w:hAnsi="Times New Roman"/>
          <w:sz w:val="24"/>
          <w:szCs w:val="24"/>
        </w:rPr>
        <w:t xml:space="preserve">es Organisations de la Société civile de la RDC se sont approprié la question </w:t>
      </w:r>
      <w:r>
        <w:rPr>
          <w:rFonts w:ascii="Times New Roman" w:hAnsi="Times New Roman"/>
          <w:sz w:val="24"/>
          <w:szCs w:val="24"/>
        </w:rPr>
        <w:t>au point qu’elles organisent et soutiennent des activités sur la divulgation de la propriété réelle à travers le pays, comme on peut le voir plus bas.</w:t>
      </w:r>
    </w:p>
    <w:p w14:paraId="27738399" w14:textId="77777777" w:rsidR="00691D72" w:rsidRPr="00E72FDF"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Toutefois, malgré les progrès réalisés, le pays fait encore face à un c</w:t>
      </w:r>
      <w:r>
        <w:rPr>
          <w:rFonts w:ascii="Times New Roman" w:hAnsi="Times New Roman"/>
          <w:sz w:val="24"/>
          <w:szCs w:val="24"/>
        </w:rPr>
        <w:t>ertain nombre de</w:t>
      </w:r>
      <w:r w:rsidRPr="00E72FDF">
        <w:rPr>
          <w:rFonts w:ascii="Times New Roman" w:hAnsi="Times New Roman"/>
          <w:sz w:val="24"/>
          <w:szCs w:val="24"/>
        </w:rPr>
        <w:t xml:space="preserve"> défis </w:t>
      </w:r>
      <w:r>
        <w:rPr>
          <w:rFonts w:ascii="Times New Roman" w:hAnsi="Times New Roman"/>
          <w:sz w:val="24"/>
          <w:szCs w:val="24"/>
        </w:rPr>
        <w:t>à relever, notamment l’absence du cadre légal et institutionnel ainsi qu’une définition adaptée à la Norme ITIE en vigueur.</w:t>
      </w:r>
    </w:p>
    <w:p w14:paraId="158C3FDA" w14:textId="77777777" w:rsidR="00691D72" w:rsidRPr="00E72FDF"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C’est pourquoi, le Comité Exécutif avait publié une Feuille de route (FDR) qui décrit les objectifs à atteindre et les activités à réaliser pour relever ces défis et parvenir ainsi à une divulgation complète des propriétaires réels à partir du 1</w:t>
      </w:r>
      <w:r w:rsidRPr="00E72FDF">
        <w:rPr>
          <w:rFonts w:ascii="Times New Roman" w:hAnsi="Times New Roman"/>
          <w:sz w:val="24"/>
          <w:szCs w:val="24"/>
          <w:vertAlign w:val="superscript"/>
        </w:rPr>
        <w:t>er</w:t>
      </w:r>
      <w:r w:rsidRPr="00E72FDF">
        <w:rPr>
          <w:rFonts w:ascii="Times New Roman" w:hAnsi="Times New Roman"/>
          <w:sz w:val="24"/>
          <w:szCs w:val="24"/>
        </w:rPr>
        <w:t xml:space="preserve"> janvier 2020. Cette FDR est disponible sur le site de l’ITIE-RDC</w:t>
      </w:r>
      <w:r>
        <w:rPr>
          <w:rStyle w:val="Appelnotedebasdep"/>
          <w:rFonts w:ascii="Times New Roman" w:hAnsi="Times New Roman"/>
          <w:sz w:val="24"/>
          <w:szCs w:val="24"/>
        </w:rPr>
        <w:footnoteReference w:id="21"/>
      </w:r>
      <w:r>
        <w:rPr>
          <w:rFonts w:ascii="Times New Roman" w:hAnsi="Times New Roman"/>
          <w:sz w:val="24"/>
          <w:szCs w:val="24"/>
        </w:rPr>
        <w:t>.</w:t>
      </w:r>
    </w:p>
    <w:p w14:paraId="407A5BAC" w14:textId="77777777" w:rsidR="00691D72" w:rsidRDefault="00691D72" w:rsidP="00D6058E">
      <w:pPr>
        <w:spacing w:line="276" w:lineRule="auto"/>
        <w:ind w:left="142"/>
        <w:jc w:val="both"/>
        <w:rPr>
          <w:rFonts w:ascii="Times New Roman" w:hAnsi="Times New Roman"/>
          <w:sz w:val="24"/>
          <w:szCs w:val="24"/>
        </w:rPr>
      </w:pPr>
      <w:r w:rsidRPr="00E72FDF">
        <w:rPr>
          <w:rFonts w:ascii="Times New Roman" w:hAnsi="Times New Roman"/>
          <w:sz w:val="24"/>
          <w:szCs w:val="24"/>
        </w:rPr>
        <w:t>Dans le cadre de l’élaboration de cette FDR, les parties prenantes avaient engagé des discussions autour, notamment, de la définition d’un propriétaire réel d’une entreprise extractive et d’une PPE, de la création d’un registre public des propriétaires réels et de l’Institution qui sera appelée à gérer ce registre. La discussion avait aussi porté sur le seuil de participation, le degré de détail de l’information, le mécanisme de collecte et de fiabilisation, ainsi que sur la ponctualité de l’information. Comme le prévoit la FDR, des Commissions seront mises en place pour traiter de toutes ces questions et lever des options pertinentes à soumettre au GMP.</w:t>
      </w:r>
      <w:r>
        <w:rPr>
          <w:rFonts w:ascii="Times New Roman" w:hAnsi="Times New Roman"/>
          <w:sz w:val="24"/>
          <w:szCs w:val="24"/>
        </w:rPr>
        <w:t xml:space="preserve"> Parmi ces Commissions figure celle chargée d’actualiser la définition du propriétaire réel. </w:t>
      </w:r>
    </w:p>
    <w:p w14:paraId="311BA848" w14:textId="77777777" w:rsidR="00691D72" w:rsidRPr="00BD4598" w:rsidRDefault="00691D72" w:rsidP="00D6058E">
      <w:pPr>
        <w:tabs>
          <w:tab w:val="left" w:pos="720"/>
        </w:tabs>
        <w:spacing w:before="120" w:after="120" w:line="276" w:lineRule="auto"/>
        <w:ind w:left="142"/>
        <w:rPr>
          <w:rFonts w:ascii="Times New Roman" w:hAnsi="Times New Roman"/>
          <w:color w:val="000000"/>
          <w:sz w:val="24"/>
          <w:szCs w:val="24"/>
        </w:rPr>
      </w:pPr>
      <w:r>
        <w:rPr>
          <w:rFonts w:ascii="Times New Roman" w:hAnsi="Times New Roman"/>
          <w:sz w:val="24"/>
          <w:szCs w:val="24"/>
        </w:rPr>
        <w:t xml:space="preserve">En effet, </w:t>
      </w:r>
      <w:r>
        <w:rPr>
          <w:rFonts w:ascii="Times New Roman" w:hAnsi="Times New Roman"/>
          <w:color w:val="000000"/>
          <w:sz w:val="24"/>
          <w:szCs w:val="24"/>
        </w:rPr>
        <w:t>d</w:t>
      </w:r>
      <w:r w:rsidRPr="00BD4598">
        <w:rPr>
          <w:rFonts w:ascii="Times New Roman" w:hAnsi="Times New Roman"/>
          <w:color w:val="000000"/>
          <w:sz w:val="24"/>
          <w:szCs w:val="24"/>
        </w:rPr>
        <w:t>ans le cadre du projet pilote</w:t>
      </w:r>
      <w:r>
        <w:rPr>
          <w:rFonts w:ascii="Times New Roman" w:hAnsi="Times New Roman"/>
          <w:color w:val="000000"/>
          <w:sz w:val="24"/>
          <w:szCs w:val="24"/>
        </w:rPr>
        <w:t xml:space="preserve"> sur la divulgation des propriétaires réels des industries extractives en RDC </w:t>
      </w:r>
      <w:r>
        <w:rPr>
          <w:rStyle w:val="Appelnotedebasdep"/>
          <w:rFonts w:ascii="Times New Roman" w:hAnsi="Times New Roman"/>
          <w:color w:val="000000"/>
          <w:sz w:val="24"/>
          <w:szCs w:val="24"/>
        </w:rPr>
        <w:footnoteReference w:id="22"/>
      </w:r>
      <w:r w:rsidRPr="00BD4598">
        <w:rPr>
          <w:rFonts w:ascii="Times New Roman" w:hAnsi="Times New Roman"/>
          <w:color w:val="000000"/>
          <w:sz w:val="24"/>
          <w:szCs w:val="24"/>
        </w:rPr>
        <w:t xml:space="preserve">, le Comité Exécutif avait engagé un consultant qui lui avait proposé une définition de « propriétaires réels » et « bénéficiaires </w:t>
      </w:r>
      <w:r w:rsidRPr="00BD4598">
        <w:rPr>
          <w:rFonts w:ascii="Times New Roman" w:hAnsi="Times New Roman"/>
          <w:sz w:val="24"/>
          <w:szCs w:val="24"/>
        </w:rPr>
        <w:t>effectifs</w:t>
      </w:r>
      <w:r w:rsidRPr="00BD4598">
        <w:rPr>
          <w:rFonts w:ascii="Times New Roman" w:hAnsi="Times New Roman"/>
          <w:color w:val="000000"/>
          <w:sz w:val="24"/>
          <w:szCs w:val="24"/>
        </w:rPr>
        <w:t xml:space="preserve"> » de sociétés. </w:t>
      </w:r>
    </w:p>
    <w:p w14:paraId="0D13A0FC" w14:textId="77777777" w:rsidR="00691D72" w:rsidRPr="00BD4598" w:rsidRDefault="00691D72" w:rsidP="00D6058E">
      <w:pPr>
        <w:tabs>
          <w:tab w:val="left" w:pos="720"/>
        </w:tabs>
        <w:spacing w:before="120" w:after="120" w:line="276" w:lineRule="auto"/>
        <w:ind w:left="142"/>
        <w:rPr>
          <w:rFonts w:ascii="Times New Roman" w:hAnsi="Times New Roman"/>
          <w:b/>
          <w:color w:val="000000"/>
          <w:sz w:val="24"/>
          <w:szCs w:val="24"/>
        </w:rPr>
      </w:pPr>
      <w:r w:rsidRPr="00BD4598">
        <w:rPr>
          <w:rFonts w:ascii="Times New Roman" w:hAnsi="Times New Roman"/>
          <w:color w:val="000000"/>
          <w:sz w:val="24"/>
          <w:szCs w:val="24"/>
        </w:rPr>
        <w:t xml:space="preserve">En attendant une définition actualisée qui sera proposée par </w:t>
      </w:r>
      <w:r>
        <w:rPr>
          <w:rFonts w:ascii="Times New Roman" w:hAnsi="Times New Roman"/>
          <w:color w:val="000000"/>
          <w:sz w:val="24"/>
          <w:szCs w:val="24"/>
        </w:rPr>
        <w:t>une</w:t>
      </w:r>
      <w:r w:rsidRPr="00BD4598">
        <w:rPr>
          <w:rFonts w:ascii="Times New Roman" w:hAnsi="Times New Roman"/>
          <w:color w:val="000000"/>
          <w:sz w:val="24"/>
          <w:szCs w:val="24"/>
        </w:rPr>
        <w:t xml:space="preserve"> Commission</w:t>
      </w:r>
      <w:r>
        <w:rPr>
          <w:rFonts w:ascii="Times New Roman" w:hAnsi="Times New Roman"/>
          <w:color w:val="000000"/>
          <w:sz w:val="24"/>
          <w:szCs w:val="24"/>
        </w:rPr>
        <w:t xml:space="preserve"> ad hoc</w:t>
      </w:r>
      <w:r w:rsidRPr="00BD4598">
        <w:rPr>
          <w:rFonts w:ascii="Times New Roman" w:hAnsi="Times New Roman"/>
          <w:color w:val="000000"/>
          <w:sz w:val="24"/>
          <w:szCs w:val="24"/>
        </w:rPr>
        <w:t xml:space="preserve">, </w:t>
      </w:r>
      <w:r w:rsidRPr="00BD4598">
        <w:rPr>
          <w:rFonts w:ascii="Times New Roman" w:hAnsi="Times New Roman"/>
          <w:sz w:val="24"/>
          <w:szCs w:val="24"/>
        </w:rPr>
        <w:t>le Comité Exécutif a décidé de divulguer la propriété réelle sur la base de la définition suivante :</w:t>
      </w:r>
      <w:r w:rsidRPr="00BD4598">
        <w:rPr>
          <w:rFonts w:ascii="Times New Roman" w:hAnsi="Times New Roman"/>
          <w:b/>
          <w:color w:val="000000"/>
          <w:sz w:val="24"/>
          <w:szCs w:val="24"/>
        </w:rPr>
        <w:t xml:space="preserve"> </w:t>
      </w:r>
    </w:p>
    <w:p w14:paraId="45139A52" w14:textId="77777777" w:rsidR="00691D72" w:rsidRPr="00BD4598" w:rsidRDefault="00691D72" w:rsidP="00D6058E">
      <w:pPr>
        <w:tabs>
          <w:tab w:val="left" w:pos="720"/>
        </w:tabs>
        <w:spacing w:before="120" w:after="120" w:line="276" w:lineRule="auto"/>
        <w:ind w:left="142"/>
        <w:rPr>
          <w:rFonts w:ascii="Times New Roman" w:hAnsi="Times New Roman"/>
          <w:sz w:val="24"/>
          <w:szCs w:val="24"/>
        </w:rPr>
      </w:pPr>
      <w:r w:rsidRPr="009520BE">
        <w:rPr>
          <w:rFonts w:ascii="Times New Roman" w:hAnsi="Times New Roman"/>
          <w:color w:val="000000"/>
          <w:sz w:val="24"/>
          <w:szCs w:val="24"/>
        </w:rPr>
        <w:t>O</w:t>
      </w:r>
      <w:r w:rsidRPr="00BD4598">
        <w:rPr>
          <w:rFonts w:ascii="Times New Roman" w:hAnsi="Times New Roman"/>
          <w:color w:val="000000"/>
          <w:sz w:val="24"/>
          <w:szCs w:val="24"/>
        </w:rPr>
        <w:t xml:space="preserve">n entend par « </w:t>
      </w:r>
      <w:r w:rsidRPr="00BD4598">
        <w:rPr>
          <w:rFonts w:ascii="Times New Roman" w:hAnsi="Times New Roman"/>
          <w:b/>
          <w:color w:val="000000"/>
          <w:sz w:val="24"/>
          <w:szCs w:val="24"/>
        </w:rPr>
        <w:t>propriétaire réel</w:t>
      </w:r>
      <w:r w:rsidRPr="00BD4598">
        <w:rPr>
          <w:rFonts w:ascii="Times New Roman" w:hAnsi="Times New Roman"/>
          <w:color w:val="000000"/>
          <w:sz w:val="24"/>
          <w:szCs w:val="24"/>
        </w:rPr>
        <w:t xml:space="preserve">» d'une société minière, pétrolière ou gazière, </w:t>
      </w:r>
      <w:r w:rsidRPr="00BD4598">
        <w:rPr>
          <w:rFonts w:ascii="Times New Roman" w:hAnsi="Times New Roman"/>
          <w:b/>
          <w:color w:val="000000"/>
          <w:sz w:val="24"/>
          <w:szCs w:val="24"/>
        </w:rPr>
        <w:t>tout bénéficiaire effectif </w:t>
      </w:r>
      <w:r w:rsidRPr="00BD4598">
        <w:rPr>
          <w:rFonts w:ascii="Times New Roman" w:hAnsi="Times New Roman"/>
          <w:color w:val="000000"/>
          <w:sz w:val="24"/>
          <w:szCs w:val="24"/>
        </w:rPr>
        <w:t>:</w:t>
      </w:r>
    </w:p>
    <w:p w14:paraId="1C140D2A" w14:textId="77777777" w:rsidR="00691D72" w:rsidRPr="00BD4598" w:rsidRDefault="00691D72" w:rsidP="000738D3">
      <w:pPr>
        <w:pStyle w:val="Paragraphedeliste"/>
        <w:numPr>
          <w:ilvl w:val="0"/>
          <w:numId w:val="34"/>
        </w:numPr>
        <w:autoSpaceDE w:val="0"/>
        <w:autoSpaceDN w:val="0"/>
        <w:adjustRightInd w:val="0"/>
        <w:spacing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des revenus générés ou réalisés des ventes, cessions ou aliénations des produits marchands par les titulaires ou détenteur d'une licence, d'une autorisation ou d'un permis d'exploitation minière ou d'un agrément au titre d'entité de traitement et de transformation en vertu de ces licences, autorisations, permis ou agréments;</w:t>
      </w:r>
    </w:p>
    <w:p w14:paraId="4849C1C6" w14:textId="77777777" w:rsidR="00691D72" w:rsidRPr="00BD4598" w:rsidRDefault="00691D72" w:rsidP="000738D3">
      <w:pPr>
        <w:pStyle w:val="Paragraphedeliste"/>
        <w:numPr>
          <w:ilvl w:val="0"/>
          <w:numId w:val="34"/>
        </w:numPr>
        <w:autoSpaceDE w:val="0"/>
        <w:autoSpaceDN w:val="0"/>
        <w:adjustRightInd w:val="0"/>
        <w:spacing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lastRenderedPageBreak/>
        <w:t>des revenus générés ou réalisés des ventes, cessions ou aliénations des parts des hydrocarbures liquides par les contractants ou des parts d'intérêt d'un contractant en vertu des conventions pétrolières ou gazières ;</w:t>
      </w:r>
    </w:p>
    <w:p w14:paraId="509BA7A3" w14:textId="77777777" w:rsidR="00691D72" w:rsidRPr="00BD4598" w:rsidRDefault="00691D72" w:rsidP="000738D3">
      <w:pPr>
        <w:pStyle w:val="Paragraphedeliste"/>
        <w:numPr>
          <w:ilvl w:val="0"/>
          <w:numId w:val="34"/>
        </w:numPr>
        <w:autoSpaceDE w:val="0"/>
        <w:autoSpaceDN w:val="0"/>
        <w:adjustRightInd w:val="0"/>
        <w:spacing w:after="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des revenus de tous genres, autre que les coûts pétroliers, réalisés ou générés par la société opératrice dans les blocs pétroliers ou gaziers en exécution des termes des conventions, des lois ou règlements applicables aux travaux pétroliers ou gaziers réalisés par ladite société.</w:t>
      </w:r>
    </w:p>
    <w:p w14:paraId="7E7B08D4" w14:textId="77777777" w:rsidR="00691D72" w:rsidRPr="00BD4598" w:rsidRDefault="00691D72" w:rsidP="00D6058E">
      <w:pPr>
        <w:tabs>
          <w:tab w:val="left" w:pos="720"/>
        </w:tabs>
        <w:spacing w:before="120" w:after="120" w:line="276" w:lineRule="auto"/>
        <w:rPr>
          <w:rFonts w:ascii="Times New Roman" w:hAnsi="Times New Roman"/>
          <w:sz w:val="24"/>
          <w:szCs w:val="24"/>
        </w:rPr>
      </w:pPr>
      <w:r w:rsidRPr="00BD4598">
        <w:rPr>
          <w:rFonts w:ascii="Times New Roman" w:hAnsi="Times New Roman"/>
          <w:color w:val="000000"/>
          <w:sz w:val="24"/>
          <w:szCs w:val="24"/>
        </w:rPr>
        <w:t xml:space="preserve">Par </w:t>
      </w:r>
      <w:r w:rsidRPr="00BD4598">
        <w:rPr>
          <w:rFonts w:ascii="Times New Roman" w:hAnsi="Times New Roman"/>
          <w:sz w:val="24"/>
          <w:szCs w:val="24"/>
        </w:rPr>
        <w:t>bénéficiaire</w:t>
      </w:r>
      <w:r w:rsidRPr="00BD4598">
        <w:rPr>
          <w:rFonts w:ascii="Times New Roman" w:hAnsi="Times New Roman"/>
          <w:color w:val="000000"/>
          <w:sz w:val="24"/>
          <w:szCs w:val="24"/>
        </w:rPr>
        <w:t xml:space="preserve"> effectif, on entend toute personne physique qui, directement ou indirectement, par tous procédés et même par des artifices légalement admis :</w:t>
      </w:r>
    </w:p>
    <w:p w14:paraId="510EAD71" w14:textId="77777777" w:rsidR="00691D72" w:rsidRPr="00BD4598" w:rsidRDefault="00691D72" w:rsidP="000738D3">
      <w:pPr>
        <w:pStyle w:val="Paragraphedeliste"/>
        <w:numPr>
          <w:ilvl w:val="0"/>
          <w:numId w:val="35"/>
        </w:numPr>
        <w:autoSpaceDE w:val="0"/>
        <w:autoSpaceDN w:val="0"/>
        <w:adjustRightInd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exerce en dernier ressort un contrôle effectif sur une société, ou</w:t>
      </w:r>
    </w:p>
    <w:p w14:paraId="3B20AEC7" w14:textId="1B9ECB21" w:rsidR="00691D72" w:rsidRPr="00BD4598" w:rsidRDefault="00691D72" w:rsidP="000738D3">
      <w:pPr>
        <w:pStyle w:val="Paragraphedeliste"/>
        <w:numPr>
          <w:ilvl w:val="0"/>
          <w:numId w:val="35"/>
        </w:numPr>
        <w:autoSpaceDE w:val="0"/>
        <w:autoSpaceDN w:val="0"/>
        <w:adjustRightInd w:val="0"/>
        <w:spacing w:after="0"/>
        <w:jc w:val="both"/>
        <w:rPr>
          <w:rFonts w:ascii="Times New Roman" w:hAnsi="Times New Roman" w:cs="Times New Roman"/>
          <w:sz w:val="24"/>
          <w:szCs w:val="24"/>
        </w:rPr>
      </w:pPr>
      <w:r w:rsidRPr="00BD4598">
        <w:rPr>
          <w:rFonts w:ascii="Times New Roman" w:hAnsi="Times New Roman" w:cs="Times New Roman"/>
          <w:color w:val="000000"/>
          <w:sz w:val="24"/>
          <w:szCs w:val="24"/>
        </w:rPr>
        <w:t>détient un intérêt q</w:t>
      </w:r>
      <w:r w:rsidR="00CA5921">
        <w:rPr>
          <w:rFonts w:ascii="Times New Roman" w:hAnsi="Times New Roman" w:cs="Times New Roman"/>
          <w:color w:val="000000"/>
          <w:sz w:val="24"/>
          <w:szCs w:val="24"/>
        </w:rPr>
        <w:t>uelconque ou tire un avantage pé</w:t>
      </w:r>
      <w:r w:rsidR="00CA5921" w:rsidRPr="00BD4598">
        <w:rPr>
          <w:rFonts w:ascii="Times New Roman" w:hAnsi="Times New Roman" w:cs="Times New Roman"/>
          <w:color w:val="000000"/>
          <w:sz w:val="24"/>
          <w:szCs w:val="24"/>
        </w:rPr>
        <w:t>cuniaire</w:t>
      </w:r>
      <w:r w:rsidRPr="00BD4598">
        <w:rPr>
          <w:rFonts w:ascii="Times New Roman" w:hAnsi="Times New Roman" w:cs="Times New Roman"/>
          <w:color w:val="000000"/>
          <w:sz w:val="24"/>
          <w:szCs w:val="24"/>
        </w:rPr>
        <w:t xml:space="preserve"> substantiel de la société, au détriment d’autres actionnaires ou associés.</w:t>
      </w:r>
    </w:p>
    <w:p w14:paraId="6FDDE341" w14:textId="77777777" w:rsidR="00691D72" w:rsidRPr="00BD4598" w:rsidRDefault="00691D72" w:rsidP="00D6058E">
      <w:pPr>
        <w:tabs>
          <w:tab w:val="left" w:pos="720"/>
        </w:tabs>
        <w:spacing w:before="120" w:after="120" w:line="276" w:lineRule="auto"/>
        <w:rPr>
          <w:rFonts w:ascii="Times New Roman" w:hAnsi="Times New Roman"/>
          <w:color w:val="000000"/>
          <w:sz w:val="24"/>
          <w:szCs w:val="24"/>
        </w:rPr>
      </w:pPr>
      <w:r w:rsidRPr="00BD4598">
        <w:rPr>
          <w:rFonts w:ascii="Times New Roman" w:hAnsi="Times New Roman"/>
          <w:color w:val="000000"/>
          <w:sz w:val="24"/>
          <w:szCs w:val="24"/>
        </w:rPr>
        <w:t xml:space="preserve">Par contrôle effectif, on entend le fait pour : </w:t>
      </w:r>
    </w:p>
    <w:p w14:paraId="2E642216" w14:textId="77777777" w:rsidR="00691D72" w:rsidRPr="00BD4598" w:rsidRDefault="00691D72" w:rsidP="000738D3">
      <w:pPr>
        <w:pStyle w:val="Paragraphedeliste"/>
        <w:numPr>
          <w:ilvl w:val="0"/>
          <w:numId w:val="36"/>
        </w:numPr>
        <w:autoSpaceDE w:val="0"/>
        <w:autoSpaceDN w:val="0"/>
        <w:adjustRightInd w:val="0"/>
        <w:spacing w:before="120" w:after="120"/>
        <w:ind w:left="714" w:hanging="357"/>
        <w:contextualSpacing w:val="0"/>
        <w:jc w:val="both"/>
        <w:rPr>
          <w:rFonts w:ascii="Times New Roman" w:hAnsi="Times New Roman" w:cs="Times New Roman"/>
          <w:sz w:val="24"/>
          <w:szCs w:val="24"/>
        </w:rPr>
      </w:pPr>
      <w:r w:rsidRPr="00BD4598">
        <w:rPr>
          <w:rFonts w:ascii="Times New Roman" w:hAnsi="Times New Roman" w:cs="Times New Roman"/>
          <w:color w:val="000000"/>
          <w:sz w:val="24"/>
          <w:szCs w:val="24"/>
        </w:rPr>
        <w:t xml:space="preserve">la ou les personnes physiques qui, en dernier lieu, possèdent ou contrôlent directement ou indirectement un pourcentage suffisant d’actions ou de droits de vote dans cette entité juridique, y compris par le biais d’actions au porteur, autre qu’une société cotée sur un marché réglementé qui est soumise à des obligations de publicité conformes aux normes internationales équivalentes. Un pourcentage de </w:t>
      </w:r>
      <w:r w:rsidRPr="000E0A51">
        <w:rPr>
          <w:rFonts w:ascii="Times New Roman" w:hAnsi="Times New Roman" w:cs="Times New Roman"/>
          <w:color w:val="000000"/>
          <w:sz w:val="24"/>
          <w:szCs w:val="24"/>
        </w:rPr>
        <w:t>25%</w:t>
      </w:r>
      <w:r w:rsidRPr="00BD4598">
        <w:rPr>
          <w:rFonts w:ascii="Times New Roman" w:hAnsi="Times New Roman" w:cs="Times New Roman"/>
          <w:color w:val="000000"/>
          <w:sz w:val="24"/>
          <w:szCs w:val="24"/>
        </w:rPr>
        <w:t xml:space="preserve"> des actions est une preuve de propriété ou de contrôle par participation, qui s’applique à tout niveau de participation directe ou indirecte ;</w:t>
      </w:r>
    </w:p>
    <w:p w14:paraId="527C6801" w14:textId="77777777" w:rsidR="00691D72" w:rsidRPr="00BD4598" w:rsidRDefault="00691D72" w:rsidP="000738D3">
      <w:pPr>
        <w:pStyle w:val="Paragraphedeliste"/>
        <w:numPr>
          <w:ilvl w:val="0"/>
          <w:numId w:val="36"/>
        </w:numPr>
        <w:autoSpaceDE w:val="0"/>
        <w:autoSpaceDN w:val="0"/>
        <w:adjustRightInd w:val="0"/>
        <w:spacing w:before="120" w:after="120"/>
        <w:ind w:left="714" w:hanging="357"/>
        <w:contextualSpacing w:val="0"/>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la ou les personnes physiques qui, en dernier lieu, sans posséder un pourcentage suffisant d’actions ou de droits de vote dans une entité juridique, contrôlent  directement ou indirectement la société par la possession des actions de priorité, des actions privilégiées ou actions de préférence et/ou par la possession des actions à vote double ou à vote multiple ;</w:t>
      </w:r>
    </w:p>
    <w:p w14:paraId="09AEC92E" w14:textId="77777777" w:rsidR="00691D72" w:rsidRPr="00BD4598" w:rsidRDefault="00691D72" w:rsidP="000738D3">
      <w:pPr>
        <w:pStyle w:val="Paragraphedeliste"/>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BD4598">
        <w:rPr>
          <w:rFonts w:ascii="Times New Roman" w:hAnsi="Times New Roman" w:cs="Times New Roman"/>
          <w:color w:val="000000"/>
          <w:sz w:val="24"/>
          <w:szCs w:val="24"/>
        </w:rPr>
        <w:t>s’il n’est pas certain que les personnes visées aux points ci-dessus soient les bénéficiaires effectifs, la ou les personnes physiques qui exercent le contrôle sur la direction de l’entité juridique par d’autres moyens ou procédés.</w:t>
      </w:r>
    </w:p>
    <w:p w14:paraId="1168A2E2" w14:textId="77777777" w:rsidR="00691D72" w:rsidRDefault="00691D72" w:rsidP="0054038F">
      <w:bookmarkStart w:id="138" w:name="_Toc516764332"/>
    </w:p>
    <w:p w14:paraId="763D8247" w14:textId="5C68106F" w:rsidR="00691D72" w:rsidRPr="0003496C" w:rsidRDefault="009520BE" w:rsidP="0003496C">
      <w:pPr>
        <w:rPr>
          <w:rFonts w:ascii="Times New Roman" w:eastAsiaTheme="minorHAnsi" w:hAnsi="Times New Roman"/>
          <w:color w:val="000000"/>
          <w:sz w:val="24"/>
          <w:szCs w:val="24"/>
        </w:rPr>
      </w:pPr>
      <w:r w:rsidRPr="0003496C">
        <w:rPr>
          <w:rFonts w:ascii="Times New Roman" w:eastAsiaTheme="minorHAnsi" w:hAnsi="Times New Roman"/>
          <w:color w:val="000000"/>
          <w:sz w:val="24"/>
          <w:szCs w:val="24"/>
        </w:rPr>
        <w:t xml:space="preserve">Toujours dans le cadre du projet pilote, le Comité Exécutif avait </w:t>
      </w:r>
      <w:r w:rsidR="0003496C" w:rsidRPr="0003496C">
        <w:rPr>
          <w:rFonts w:ascii="Times New Roman" w:eastAsiaTheme="minorHAnsi" w:hAnsi="Times New Roman"/>
          <w:color w:val="000000"/>
          <w:sz w:val="24"/>
          <w:szCs w:val="24"/>
        </w:rPr>
        <w:t>décidé</w:t>
      </w:r>
      <w:r w:rsidRPr="0003496C">
        <w:rPr>
          <w:rFonts w:ascii="Times New Roman" w:eastAsiaTheme="minorHAnsi" w:hAnsi="Times New Roman"/>
          <w:color w:val="000000"/>
          <w:sz w:val="24"/>
          <w:szCs w:val="24"/>
        </w:rPr>
        <w:t xml:space="preserve"> ce qui suit, et qui s’applique pour les rapports actuels :</w:t>
      </w:r>
    </w:p>
    <w:p w14:paraId="30BBD741"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 seuil de divulgation est fixé à 25% de participation ;</w:t>
      </w:r>
    </w:p>
    <w:p w14:paraId="313D9D06"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 xml:space="preserve">la collecte des informations sur la propriété réelle se fait au moyen d’un formulaire, qui peut être consulté sur </w:t>
      </w:r>
      <w:r w:rsidRPr="001A4C8B">
        <w:rPr>
          <w:rFonts w:ascii="Times New Roman" w:hAnsi="Times New Roman" w:cs="Times New Roman"/>
          <w:sz w:val="24"/>
          <w:szCs w:val="24"/>
        </w:rPr>
        <w:t>le site de l’ITIE-RDC</w:t>
      </w:r>
      <w:r>
        <w:rPr>
          <w:rStyle w:val="Appelnotedebasdep"/>
          <w:rFonts w:ascii="Times New Roman" w:hAnsi="Times New Roman" w:cs="Times New Roman"/>
          <w:sz w:val="24"/>
          <w:szCs w:val="24"/>
        </w:rPr>
        <w:footnoteReference w:id="23"/>
      </w:r>
      <w:r w:rsidRPr="001A4C8B">
        <w:rPr>
          <w:rFonts w:ascii="Times New Roman" w:hAnsi="Times New Roman" w:cs="Times New Roman"/>
          <w:sz w:val="24"/>
          <w:szCs w:val="24"/>
        </w:rPr>
        <w:t> </w:t>
      </w:r>
      <w:r w:rsidRPr="007348F3">
        <w:rPr>
          <w:rFonts w:ascii="Times New Roman" w:hAnsi="Times New Roman" w:cs="Times New Roman"/>
          <w:sz w:val="24"/>
          <w:szCs w:val="24"/>
        </w:rPr>
        <w:t>;</w:t>
      </w:r>
    </w:p>
    <w:p w14:paraId="23BDC2CD"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seules les entreprises du périmètre du rapport ITIE reçoivent le formulaire de déclaration ;</w:t>
      </w:r>
    </w:p>
    <w:p w14:paraId="41E70139" w14:textId="77777777" w:rsidR="00691D72" w:rsidRPr="007348F3"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les informations sont certifiées par la signature du formulaire de déclaration par un haut responsable de l’entreprise ;</w:t>
      </w:r>
    </w:p>
    <w:p w14:paraId="5626BDE0" w14:textId="77777777" w:rsidR="00691D72" w:rsidRDefault="00691D72" w:rsidP="000738D3">
      <w:pPr>
        <w:pStyle w:val="Paragraphedeliste"/>
        <w:numPr>
          <w:ilvl w:val="0"/>
          <w:numId w:val="37"/>
        </w:numPr>
        <w:spacing w:after="0" w:line="259" w:lineRule="auto"/>
        <w:ind w:left="1134"/>
        <w:rPr>
          <w:rFonts w:ascii="Times New Roman" w:hAnsi="Times New Roman" w:cs="Times New Roman"/>
          <w:sz w:val="24"/>
          <w:szCs w:val="24"/>
        </w:rPr>
      </w:pPr>
      <w:r w:rsidRPr="007348F3">
        <w:rPr>
          <w:rFonts w:ascii="Times New Roman" w:hAnsi="Times New Roman" w:cs="Times New Roman"/>
          <w:sz w:val="24"/>
          <w:szCs w:val="24"/>
        </w:rPr>
        <w:t>les informations divulguées sont celles valables au moment de la collecte des données pour la production du rapport ITIE.</w:t>
      </w:r>
    </w:p>
    <w:p w14:paraId="40ED0966" w14:textId="0A93CC06" w:rsidR="00691D72" w:rsidRPr="009520BE" w:rsidRDefault="009520BE" w:rsidP="009520BE">
      <w:pPr>
        <w:pStyle w:val="Titre2"/>
        <w:ind w:left="142"/>
        <w:rPr>
          <w:rFonts w:ascii="Times New Roman" w:hAnsi="Times New Roman" w:cs="Times New Roman"/>
          <w:sz w:val="24"/>
          <w:szCs w:val="24"/>
        </w:rPr>
      </w:pPr>
      <w:bookmarkStart w:id="139" w:name="_Toc518468079"/>
      <w:r>
        <w:rPr>
          <w:rFonts w:ascii="Times New Roman" w:hAnsi="Times New Roman" w:cs="Times New Roman"/>
          <w:sz w:val="24"/>
          <w:szCs w:val="24"/>
        </w:rPr>
        <w:lastRenderedPageBreak/>
        <w:t xml:space="preserve">V.2. </w:t>
      </w:r>
      <w:r w:rsidR="00232958" w:rsidRPr="009520BE">
        <w:rPr>
          <w:rFonts w:ascii="Times New Roman" w:hAnsi="Times New Roman" w:cs="Times New Roman"/>
          <w:caps w:val="0"/>
          <w:sz w:val="24"/>
          <w:szCs w:val="24"/>
        </w:rPr>
        <w:t>Niveau d’exécution</w:t>
      </w:r>
      <w:r w:rsidR="00232958">
        <w:rPr>
          <w:rFonts w:ascii="Times New Roman" w:hAnsi="Times New Roman" w:cs="Times New Roman"/>
          <w:caps w:val="0"/>
          <w:sz w:val="24"/>
          <w:szCs w:val="24"/>
        </w:rPr>
        <w:t xml:space="preserve"> de la F</w:t>
      </w:r>
      <w:r w:rsidR="00232958" w:rsidRPr="009520BE">
        <w:rPr>
          <w:rFonts w:ascii="Times New Roman" w:hAnsi="Times New Roman" w:cs="Times New Roman"/>
          <w:caps w:val="0"/>
          <w:sz w:val="24"/>
          <w:szCs w:val="24"/>
        </w:rPr>
        <w:t>euille de route</w:t>
      </w:r>
      <w:bookmarkEnd w:id="138"/>
      <w:bookmarkEnd w:id="139"/>
    </w:p>
    <w:p w14:paraId="608E6CEA" w14:textId="77777777" w:rsidR="00691D72" w:rsidRPr="00E72FDF" w:rsidRDefault="00691D72" w:rsidP="009520BE">
      <w:pPr>
        <w:ind w:left="142"/>
        <w:jc w:val="both"/>
        <w:rPr>
          <w:rFonts w:ascii="Times New Roman" w:hAnsi="Times New Roman"/>
          <w:sz w:val="24"/>
          <w:szCs w:val="24"/>
        </w:rPr>
      </w:pPr>
      <w:r w:rsidRPr="00E72FDF">
        <w:rPr>
          <w:rFonts w:ascii="Times New Roman" w:hAnsi="Times New Roman"/>
          <w:sz w:val="24"/>
          <w:szCs w:val="24"/>
        </w:rPr>
        <w:t>Au terme des circonstances qui ont retardé le démarrage de l’exécution de la FDR, les activités suivantes ont été réalisées :</w:t>
      </w:r>
    </w:p>
    <w:p w14:paraId="52F52533" w14:textId="77777777" w:rsidR="00691D72" w:rsidRPr="00E72FDF" w:rsidRDefault="00691D72" w:rsidP="000738D3">
      <w:pPr>
        <w:pStyle w:val="Paragraphedeliste"/>
        <w:numPr>
          <w:ilvl w:val="0"/>
          <w:numId w:val="33"/>
        </w:numPr>
        <w:ind w:left="993"/>
        <w:jc w:val="both"/>
        <w:rPr>
          <w:rFonts w:ascii="Times New Roman" w:hAnsi="Times New Roman" w:cs="Times New Roman"/>
          <w:sz w:val="24"/>
          <w:szCs w:val="24"/>
        </w:rPr>
      </w:pPr>
      <w:r w:rsidRPr="00E72FDF">
        <w:rPr>
          <w:rFonts w:ascii="Times New Roman" w:hAnsi="Times New Roman" w:cs="Times New Roman"/>
          <w:sz w:val="24"/>
          <w:szCs w:val="24"/>
        </w:rPr>
        <w:t>Vulgarisation de la FDR relative à la divulgation de la propriété réelle (réalisée à Lubumbashi les 29 et 30 janvier 2018) ;</w:t>
      </w:r>
    </w:p>
    <w:p w14:paraId="21A0E75A" w14:textId="77777777" w:rsidR="00691D72" w:rsidRPr="00E72FDF" w:rsidRDefault="00691D72" w:rsidP="00691D72">
      <w:pPr>
        <w:ind w:left="993"/>
        <w:jc w:val="both"/>
        <w:rPr>
          <w:rFonts w:ascii="Times New Roman" w:hAnsi="Times New Roman"/>
          <w:sz w:val="24"/>
          <w:szCs w:val="24"/>
        </w:rPr>
      </w:pPr>
      <w:r w:rsidRPr="00E72FDF">
        <w:rPr>
          <w:rFonts w:ascii="Times New Roman" w:hAnsi="Times New Roman"/>
          <w:sz w:val="24"/>
          <w:szCs w:val="24"/>
        </w:rPr>
        <w:t>Cette vulgarisation a permis aux parties prenantes de s’approprier la FDR, de comprendre leur rôle et de s’engager à participer activement à sa mise en œuvre.</w:t>
      </w:r>
    </w:p>
    <w:p w14:paraId="34D828A9" w14:textId="77777777" w:rsidR="00691D72" w:rsidRPr="00E72FDF" w:rsidRDefault="00691D72" w:rsidP="000738D3">
      <w:pPr>
        <w:pStyle w:val="Paragraphedeliste"/>
        <w:numPr>
          <w:ilvl w:val="0"/>
          <w:numId w:val="33"/>
        </w:numPr>
        <w:ind w:left="993"/>
        <w:jc w:val="both"/>
        <w:rPr>
          <w:rFonts w:ascii="Times New Roman" w:hAnsi="Times New Roman" w:cs="Times New Roman"/>
          <w:sz w:val="24"/>
          <w:szCs w:val="24"/>
        </w:rPr>
      </w:pPr>
      <w:r w:rsidRPr="00E72FDF">
        <w:rPr>
          <w:rFonts w:ascii="Times New Roman" w:hAnsi="Times New Roman" w:cs="Times New Roman"/>
          <w:sz w:val="24"/>
          <w:szCs w:val="24"/>
        </w:rPr>
        <w:t xml:space="preserve">Identification des défis à la divulgation de la propriété réelle et proposition </w:t>
      </w:r>
      <w:r>
        <w:rPr>
          <w:rFonts w:ascii="Times New Roman" w:hAnsi="Times New Roman" w:cs="Times New Roman"/>
          <w:sz w:val="24"/>
          <w:szCs w:val="24"/>
        </w:rPr>
        <w:t>d’</w:t>
      </w:r>
      <w:r w:rsidRPr="00E72FDF">
        <w:rPr>
          <w:rFonts w:ascii="Times New Roman" w:hAnsi="Times New Roman" w:cs="Times New Roman"/>
          <w:sz w:val="24"/>
          <w:szCs w:val="24"/>
        </w:rPr>
        <w:t xml:space="preserve">actions prioritaires </w:t>
      </w:r>
      <w:r>
        <w:rPr>
          <w:rFonts w:ascii="Times New Roman" w:hAnsi="Times New Roman" w:cs="Times New Roman"/>
          <w:sz w:val="24"/>
          <w:szCs w:val="24"/>
        </w:rPr>
        <w:t>et/</w:t>
      </w:r>
      <w:r w:rsidRPr="00E72FDF">
        <w:rPr>
          <w:rFonts w:ascii="Times New Roman" w:hAnsi="Times New Roman" w:cs="Times New Roman"/>
          <w:sz w:val="24"/>
          <w:szCs w:val="24"/>
        </w:rPr>
        <w:t>ou des réformes (réalisée à Kinshasa les 28 et 29 mars 2018).</w:t>
      </w:r>
    </w:p>
    <w:p w14:paraId="639CA160" w14:textId="77777777" w:rsidR="00691D72" w:rsidRPr="00E72FDF" w:rsidRDefault="00691D72" w:rsidP="009520BE">
      <w:pPr>
        <w:spacing w:line="276" w:lineRule="auto"/>
        <w:ind w:left="142"/>
        <w:jc w:val="both"/>
        <w:rPr>
          <w:rFonts w:ascii="Times New Roman" w:hAnsi="Times New Roman"/>
          <w:sz w:val="24"/>
          <w:szCs w:val="24"/>
          <w:lang w:eastAsia="fr-FR"/>
        </w:rPr>
      </w:pPr>
      <w:r w:rsidRPr="00E72FDF">
        <w:rPr>
          <w:rFonts w:ascii="Times New Roman" w:hAnsi="Times New Roman"/>
          <w:sz w:val="24"/>
          <w:szCs w:val="24"/>
        </w:rPr>
        <w:t>Cette activité, réalisée en collaboration avec NRGI,  a permis aux parties prenantes de d</w:t>
      </w:r>
      <w:r w:rsidRPr="00E72FDF">
        <w:rPr>
          <w:rFonts w:ascii="Times New Roman" w:hAnsi="Times New Roman"/>
          <w:sz w:val="24"/>
          <w:szCs w:val="24"/>
          <w:lang w:eastAsia="fr-FR"/>
        </w:rPr>
        <w:t xml:space="preserve">resser, </w:t>
      </w:r>
      <w:r w:rsidRPr="00E72FDF">
        <w:rPr>
          <w:rFonts w:ascii="Times New Roman" w:hAnsi="Times New Roman"/>
          <w:sz w:val="24"/>
          <w:szCs w:val="24"/>
        </w:rPr>
        <w:t>d’une part,</w:t>
      </w:r>
      <w:r w:rsidRPr="00E72FDF">
        <w:rPr>
          <w:rFonts w:ascii="Times New Roman" w:hAnsi="Times New Roman"/>
          <w:sz w:val="24"/>
          <w:szCs w:val="24"/>
          <w:lang w:eastAsia="fr-FR"/>
        </w:rPr>
        <w:t xml:space="preserve"> la liste des défis, lacunes ou obstacles à la divulgation de la propriété réelle, et d’autre part, </w:t>
      </w:r>
      <w:r w:rsidRPr="00E72FDF">
        <w:rPr>
          <w:rFonts w:ascii="Times New Roman" w:hAnsi="Times New Roman"/>
          <w:sz w:val="24"/>
          <w:szCs w:val="24"/>
        </w:rPr>
        <w:t xml:space="preserve">la </w:t>
      </w:r>
      <w:r w:rsidRPr="00E72FDF">
        <w:rPr>
          <w:rFonts w:ascii="Times New Roman" w:hAnsi="Times New Roman"/>
          <w:sz w:val="24"/>
          <w:szCs w:val="24"/>
          <w:lang w:eastAsia="fr-FR"/>
        </w:rPr>
        <w:t>liste des réformes ou actions prioritaires à entreprendre pour l’effectivité de la divulgation de la propriété</w:t>
      </w:r>
      <w:r w:rsidRPr="00E72FDF">
        <w:rPr>
          <w:rFonts w:ascii="Times New Roman" w:hAnsi="Times New Roman"/>
          <w:sz w:val="24"/>
          <w:szCs w:val="24"/>
        </w:rPr>
        <w:t xml:space="preserve"> avant janvier 2020</w:t>
      </w:r>
      <w:r w:rsidRPr="00E72FDF">
        <w:rPr>
          <w:rFonts w:ascii="Times New Roman" w:hAnsi="Times New Roman"/>
          <w:sz w:val="24"/>
          <w:szCs w:val="24"/>
          <w:lang w:eastAsia="fr-FR"/>
        </w:rPr>
        <w:t>.</w:t>
      </w:r>
    </w:p>
    <w:p w14:paraId="0AE7D2BE" w14:textId="77777777" w:rsidR="00691D72" w:rsidRPr="003A3785" w:rsidRDefault="00691D72" w:rsidP="009520BE">
      <w:pPr>
        <w:spacing w:line="276" w:lineRule="auto"/>
        <w:ind w:left="142"/>
        <w:jc w:val="both"/>
        <w:rPr>
          <w:rFonts w:ascii="Times New Roman" w:hAnsi="Times New Roman"/>
          <w:i/>
          <w:sz w:val="24"/>
          <w:szCs w:val="24"/>
          <w:lang w:eastAsia="fr-FR"/>
        </w:rPr>
      </w:pPr>
      <w:r w:rsidRPr="00E72FDF">
        <w:rPr>
          <w:rFonts w:ascii="Times New Roman" w:eastAsia="Times New Roman" w:hAnsi="Times New Roman"/>
          <w:color w:val="333333"/>
          <w:sz w:val="24"/>
          <w:szCs w:val="24"/>
          <w:lang w:eastAsia="fr-FR"/>
        </w:rPr>
        <w:t xml:space="preserve">Par ailleurs, une Commission a été constituée pour proposer une définition actualisée de la propriété réelle, incluant l’obligation de divulguer les PPE, le seuil de divulgation, le degré de détail de l’information, </w:t>
      </w:r>
      <w:r>
        <w:rPr>
          <w:rFonts w:ascii="Times New Roman" w:eastAsia="Times New Roman" w:hAnsi="Times New Roman"/>
          <w:color w:val="333333"/>
          <w:sz w:val="24"/>
          <w:szCs w:val="24"/>
          <w:lang w:eastAsia="fr-FR"/>
        </w:rPr>
        <w:t>sans s’y limiter</w:t>
      </w:r>
      <w:r w:rsidRPr="00E72FDF">
        <w:rPr>
          <w:rFonts w:ascii="Times New Roman" w:eastAsia="Times New Roman" w:hAnsi="Times New Roman"/>
          <w:color w:val="333333"/>
          <w:sz w:val="24"/>
          <w:szCs w:val="24"/>
          <w:lang w:eastAsia="fr-FR"/>
        </w:rPr>
        <w:t>. Cette Commission sera convoquée incessamment.</w:t>
      </w:r>
    </w:p>
    <w:p w14:paraId="7A8C87F4" w14:textId="77777777" w:rsidR="00691D72" w:rsidRPr="00E72FDF" w:rsidRDefault="00691D72" w:rsidP="009520BE">
      <w:pPr>
        <w:spacing w:after="0" w:line="276" w:lineRule="auto"/>
        <w:ind w:left="142"/>
        <w:jc w:val="both"/>
        <w:rPr>
          <w:rFonts w:ascii="Times New Roman" w:eastAsia="Times New Roman" w:hAnsi="Times New Roman"/>
          <w:i/>
          <w:color w:val="333333"/>
          <w:sz w:val="24"/>
          <w:szCs w:val="24"/>
          <w:lang w:eastAsia="fr-FR"/>
        </w:rPr>
      </w:pPr>
      <w:r>
        <w:rPr>
          <w:rFonts w:ascii="Times New Roman" w:eastAsia="Times New Roman" w:hAnsi="Times New Roman"/>
          <w:color w:val="333333"/>
          <w:sz w:val="24"/>
          <w:szCs w:val="24"/>
          <w:lang w:eastAsia="fr-FR"/>
        </w:rPr>
        <w:t xml:space="preserve">Nous pouvons </w:t>
      </w:r>
      <w:r w:rsidRPr="00E72FDF">
        <w:rPr>
          <w:rFonts w:ascii="Times New Roman" w:eastAsia="Times New Roman" w:hAnsi="Times New Roman"/>
          <w:color w:val="333333"/>
          <w:sz w:val="24"/>
          <w:szCs w:val="24"/>
          <w:lang w:eastAsia="fr-FR"/>
        </w:rPr>
        <w:t xml:space="preserve"> aussi noter </w:t>
      </w:r>
      <w:r>
        <w:rPr>
          <w:rFonts w:ascii="Times New Roman" w:eastAsia="Times New Roman" w:hAnsi="Times New Roman"/>
          <w:color w:val="333333"/>
          <w:sz w:val="24"/>
          <w:szCs w:val="24"/>
          <w:lang w:eastAsia="fr-FR"/>
        </w:rPr>
        <w:t xml:space="preserve">que les discussions autour </w:t>
      </w:r>
      <w:r w:rsidRPr="00E72FDF">
        <w:rPr>
          <w:rFonts w:ascii="Times New Roman" w:hAnsi="Times New Roman"/>
          <w:sz w:val="24"/>
          <w:szCs w:val="24"/>
        </w:rPr>
        <w:t xml:space="preserve">de l’ITIE en RDC </w:t>
      </w:r>
      <w:r>
        <w:rPr>
          <w:rFonts w:ascii="Times New Roman" w:hAnsi="Times New Roman"/>
          <w:sz w:val="24"/>
          <w:szCs w:val="24"/>
        </w:rPr>
        <w:t>ont</w:t>
      </w:r>
      <w:r w:rsidRPr="00E72FDF">
        <w:rPr>
          <w:rFonts w:ascii="Times New Roman" w:hAnsi="Times New Roman"/>
          <w:sz w:val="24"/>
          <w:szCs w:val="24"/>
        </w:rPr>
        <w:t xml:space="preserve"> </w:t>
      </w:r>
      <w:r>
        <w:rPr>
          <w:rFonts w:ascii="Times New Roman" w:hAnsi="Times New Roman"/>
          <w:sz w:val="24"/>
          <w:szCs w:val="24"/>
        </w:rPr>
        <w:t>contribué</w:t>
      </w:r>
      <w:r w:rsidRPr="00E72FDF">
        <w:rPr>
          <w:rFonts w:ascii="Times New Roman" w:hAnsi="Times New Roman"/>
          <w:sz w:val="24"/>
          <w:szCs w:val="24"/>
        </w:rPr>
        <w:t xml:space="preserve"> à l’introduction de la notion de propriété réelle dans le nouveau Code minier</w:t>
      </w:r>
      <w:r>
        <w:rPr>
          <w:rFonts w:ascii="Times New Roman" w:hAnsi="Times New Roman"/>
          <w:sz w:val="24"/>
          <w:szCs w:val="24"/>
        </w:rPr>
        <w:t xml:space="preserve"> (mettre la référence à l’art ici)</w:t>
      </w:r>
      <w:r w:rsidRPr="00E72FDF">
        <w:rPr>
          <w:rFonts w:ascii="Times New Roman" w:hAnsi="Times New Roman"/>
          <w:sz w:val="24"/>
          <w:szCs w:val="24"/>
        </w:rPr>
        <w:t>.</w:t>
      </w:r>
      <w:r w:rsidRPr="00E72FDF">
        <w:rPr>
          <w:rFonts w:ascii="Times New Roman" w:eastAsia="Times New Roman" w:hAnsi="Times New Roman"/>
          <w:color w:val="333333"/>
          <w:sz w:val="24"/>
          <w:szCs w:val="24"/>
          <w:lang w:eastAsia="fr-FR"/>
        </w:rPr>
        <w:t xml:space="preserve"> Cette notion pourra, en cas de nécessité, être renforcée et complétée par d’autres </w:t>
      </w:r>
      <w:r w:rsidRPr="00E72FDF">
        <w:rPr>
          <w:rFonts w:ascii="Times New Roman" w:hAnsi="Times New Roman"/>
          <w:iCs/>
          <w:color w:val="000000"/>
          <w:sz w:val="24"/>
          <w:szCs w:val="24"/>
        </w:rPr>
        <w:t>mesures légales ou réglementaires particulières en application des normes nationales, régionales et internationales en matière de transparence dans l'industrie minière (</w:t>
      </w:r>
      <w:r>
        <w:rPr>
          <w:rFonts w:ascii="Times New Roman" w:hAnsi="Times New Roman"/>
          <w:iCs/>
          <w:color w:val="000000"/>
          <w:sz w:val="24"/>
          <w:szCs w:val="24"/>
        </w:rPr>
        <w:t>Cf</w:t>
      </w:r>
      <w:r w:rsidRPr="00E72FDF">
        <w:rPr>
          <w:rFonts w:ascii="Times New Roman" w:hAnsi="Times New Roman"/>
          <w:iCs/>
          <w:color w:val="000000"/>
          <w:sz w:val="24"/>
          <w:szCs w:val="24"/>
        </w:rPr>
        <w:t xml:space="preserve"> </w:t>
      </w:r>
      <w:r w:rsidRPr="00E72FDF">
        <w:rPr>
          <w:rFonts w:ascii="Times New Roman" w:hAnsi="Times New Roman"/>
          <w:bCs/>
          <w:i/>
          <w:iCs/>
          <w:color w:val="000000"/>
          <w:sz w:val="24"/>
          <w:szCs w:val="24"/>
        </w:rPr>
        <w:t>54bis : transparence</w:t>
      </w:r>
      <w:r w:rsidRPr="00E72FDF">
        <w:rPr>
          <w:rFonts w:ascii="Times New Roman" w:eastAsia="Times New Roman" w:hAnsi="Times New Roman"/>
          <w:color w:val="333333"/>
          <w:sz w:val="24"/>
          <w:szCs w:val="24"/>
          <w:lang w:eastAsia="fr-FR"/>
        </w:rPr>
        <w:t xml:space="preserve"> </w:t>
      </w:r>
      <w:r w:rsidRPr="00E72FDF">
        <w:rPr>
          <w:rFonts w:ascii="Times New Roman" w:eastAsia="Times New Roman" w:hAnsi="Times New Roman"/>
          <w:i/>
          <w:color w:val="333333"/>
          <w:sz w:val="24"/>
          <w:szCs w:val="24"/>
          <w:lang w:eastAsia="fr-FR"/>
        </w:rPr>
        <w:t>et l’article 7 ter du Code minier).</w:t>
      </w:r>
      <w:r>
        <w:rPr>
          <w:rFonts w:ascii="Times New Roman" w:eastAsia="Times New Roman" w:hAnsi="Times New Roman"/>
          <w:i/>
          <w:color w:val="333333"/>
          <w:sz w:val="24"/>
          <w:szCs w:val="24"/>
          <w:lang w:eastAsia="fr-FR"/>
        </w:rPr>
        <w:t xml:space="preserve"> </w:t>
      </w:r>
      <w:r w:rsidRPr="002E54C9">
        <w:rPr>
          <w:rFonts w:ascii="Times New Roman" w:eastAsia="Times New Roman" w:hAnsi="Times New Roman"/>
          <w:color w:val="333333"/>
          <w:sz w:val="24"/>
          <w:szCs w:val="24"/>
          <w:lang w:eastAsia="fr-FR"/>
        </w:rPr>
        <w:t>Nous attendons la promulgation du Règlement Minier pour enrichir les commentaires sur cette question.</w:t>
      </w:r>
    </w:p>
    <w:p w14:paraId="7C48A009" w14:textId="77777777" w:rsidR="00691D72" w:rsidRPr="00E72FDF" w:rsidRDefault="00691D72" w:rsidP="009520BE">
      <w:pPr>
        <w:spacing w:after="0" w:line="240" w:lineRule="auto"/>
        <w:ind w:left="142"/>
        <w:jc w:val="both"/>
        <w:rPr>
          <w:rFonts w:ascii="Times New Roman" w:eastAsia="Times New Roman" w:hAnsi="Times New Roman"/>
          <w:i/>
          <w:color w:val="333333"/>
          <w:sz w:val="24"/>
          <w:szCs w:val="24"/>
          <w:lang w:eastAsia="fr-FR"/>
        </w:rPr>
      </w:pPr>
    </w:p>
    <w:p w14:paraId="093077FA" w14:textId="77777777" w:rsidR="00691D72" w:rsidRPr="00E72FDF" w:rsidRDefault="00691D72" w:rsidP="009520BE">
      <w:pPr>
        <w:ind w:left="142"/>
        <w:jc w:val="both"/>
        <w:rPr>
          <w:rFonts w:ascii="Times New Roman" w:hAnsi="Times New Roman"/>
          <w:sz w:val="24"/>
          <w:szCs w:val="24"/>
        </w:rPr>
      </w:pPr>
      <w:r w:rsidRPr="00E72FDF">
        <w:rPr>
          <w:rFonts w:ascii="Times New Roman" w:hAnsi="Times New Roman"/>
          <w:sz w:val="24"/>
          <w:szCs w:val="24"/>
        </w:rPr>
        <w:t>Dans le cadre de la production du Rapport ITIE-RDC 2016, les entreprises ont reçu un formulaire pour déclarer la propriété réelle au même titre que toutes les autres informations contextuelles et les flux financiers.</w:t>
      </w:r>
    </w:p>
    <w:p w14:paraId="23776B4B" w14:textId="77777777" w:rsidR="00691D72" w:rsidRPr="00E72FDF" w:rsidRDefault="00691D72" w:rsidP="00691D72">
      <w:pPr>
        <w:ind w:left="142"/>
        <w:jc w:val="both"/>
        <w:rPr>
          <w:rFonts w:ascii="Times New Roman" w:hAnsi="Times New Roman"/>
          <w:sz w:val="24"/>
          <w:szCs w:val="24"/>
        </w:rPr>
      </w:pPr>
      <w:r w:rsidRPr="00E72FDF">
        <w:rPr>
          <w:rFonts w:ascii="Times New Roman" w:hAnsi="Times New Roman"/>
          <w:sz w:val="24"/>
          <w:szCs w:val="24"/>
        </w:rPr>
        <w:t>En attendant que les déclarations obtenues à ce jour</w:t>
      </w:r>
      <w:r>
        <w:rPr>
          <w:rFonts w:ascii="Times New Roman" w:hAnsi="Times New Roman"/>
          <w:sz w:val="24"/>
          <w:szCs w:val="24"/>
        </w:rPr>
        <w:t xml:space="preserve"> </w:t>
      </w:r>
      <w:r w:rsidRPr="00E72FDF">
        <w:rPr>
          <w:rFonts w:ascii="Times New Roman" w:hAnsi="Times New Roman"/>
          <w:sz w:val="24"/>
          <w:szCs w:val="24"/>
        </w:rPr>
        <w:t>soient complétées et même améliorées avant la</w:t>
      </w:r>
      <w:r>
        <w:rPr>
          <w:rFonts w:ascii="Times New Roman" w:hAnsi="Times New Roman"/>
          <w:sz w:val="24"/>
          <w:szCs w:val="24"/>
        </w:rPr>
        <w:t xml:space="preserve"> </w:t>
      </w:r>
      <w:r w:rsidRPr="00E72FDF">
        <w:rPr>
          <w:rFonts w:ascii="Times New Roman" w:hAnsi="Times New Roman"/>
          <w:sz w:val="24"/>
          <w:szCs w:val="24"/>
        </w:rPr>
        <w:t>publication du rapport entier ITIE-RDC 2016, nous présentons, à titre indicatif, le résultat provisoire de divulgation dans le tableau ci-dessous.</w:t>
      </w:r>
    </w:p>
    <w:tbl>
      <w:tblPr>
        <w:tblStyle w:val="TableauGrille1Clair1"/>
        <w:tblW w:w="9062" w:type="dxa"/>
        <w:tblInd w:w="137" w:type="dxa"/>
        <w:tblLook w:val="04A0" w:firstRow="1" w:lastRow="0" w:firstColumn="1" w:lastColumn="0" w:noHBand="0" w:noVBand="1"/>
      </w:tblPr>
      <w:tblGrid>
        <w:gridCol w:w="1515"/>
        <w:gridCol w:w="1976"/>
        <w:gridCol w:w="1466"/>
        <w:gridCol w:w="2235"/>
        <w:gridCol w:w="1870"/>
      </w:tblGrid>
      <w:tr w:rsidR="00691D72" w:rsidRPr="00E72FDF" w14:paraId="6422A64E" w14:textId="77777777" w:rsidTr="00D6058E">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4957" w:type="dxa"/>
            <w:gridSpan w:val="3"/>
            <w:vAlign w:val="center"/>
          </w:tcPr>
          <w:p w14:paraId="375BDBF0" w14:textId="77777777" w:rsidR="00691D72" w:rsidRPr="00E72FDF" w:rsidRDefault="00691D72" w:rsidP="00D6058E">
            <w:pPr>
              <w:jc w:val="center"/>
              <w:rPr>
                <w:rFonts w:ascii="Times New Roman" w:hAnsi="Times New Roman"/>
                <w:b w:val="0"/>
                <w:sz w:val="24"/>
                <w:szCs w:val="24"/>
              </w:rPr>
            </w:pPr>
            <w:r w:rsidRPr="00E72FDF">
              <w:rPr>
                <w:rFonts w:ascii="Times New Roman" w:hAnsi="Times New Roman"/>
                <w:sz w:val="24"/>
                <w:szCs w:val="24"/>
              </w:rPr>
              <w:t>Entreprises non concernées par la divulgation</w:t>
            </w:r>
          </w:p>
        </w:tc>
        <w:tc>
          <w:tcPr>
            <w:tcW w:w="4105" w:type="dxa"/>
            <w:gridSpan w:val="2"/>
            <w:vAlign w:val="center"/>
          </w:tcPr>
          <w:p w14:paraId="5A1148CC" w14:textId="77777777" w:rsidR="00691D72" w:rsidRPr="00E72FDF" w:rsidRDefault="00691D72" w:rsidP="00D605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E72FDF">
              <w:rPr>
                <w:rFonts w:ascii="Times New Roman" w:hAnsi="Times New Roman"/>
                <w:sz w:val="24"/>
                <w:szCs w:val="24"/>
              </w:rPr>
              <w:t>Entreprises astreintes à la divulgation</w:t>
            </w:r>
          </w:p>
        </w:tc>
      </w:tr>
      <w:tr w:rsidR="009520BE" w:rsidRPr="009520BE" w14:paraId="5783D0D1" w14:textId="77777777" w:rsidTr="00F000B0">
        <w:trPr>
          <w:trHeight w:val="546"/>
        </w:trPr>
        <w:tc>
          <w:tcPr>
            <w:cnfStyle w:val="001000000000" w:firstRow="0" w:lastRow="0" w:firstColumn="1" w:lastColumn="0" w:oddVBand="0" w:evenVBand="0" w:oddHBand="0" w:evenHBand="0" w:firstRowFirstColumn="0" w:firstRowLastColumn="0" w:lastRowFirstColumn="0" w:lastRowLastColumn="0"/>
            <w:tcW w:w="1515" w:type="dxa"/>
          </w:tcPr>
          <w:p w14:paraId="2052E344" w14:textId="77777777" w:rsidR="00691D72" w:rsidRPr="009520BE" w:rsidRDefault="00691D72" w:rsidP="00F000B0">
            <w:pPr>
              <w:ind w:left="33"/>
              <w:rPr>
                <w:rFonts w:ascii="Times New Roman" w:hAnsi="Times New Roman"/>
                <w:b w:val="0"/>
                <w:color w:val="404040" w:themeColor="text1" w:themeTint="BF"/>
                <w:sz w:val="24"/>
                <w:szCs w:val="24"/>
              </w:rPr>
            </w:pPr>
            <w:r w:rsidRPr="009520BE">
              <w:rPr>
                <w:rFonts w:ascii="Times New Roman" w:hAnsi="Times New Roman"/>
                <w:color w:val="404040" w:themeColor="text1" w:themeTint="BF"/>
                <w:sz w:val="24"/>
                <w:szCs w:val="24"/>
              </w:rPr>
              <w:t>EPE</w:t>
            </w:r>
          </w:p>
        </w:tc>
        <w:tc>
          <w:tcPr>
            <w:tcW w:w="1976" w:type="dxa"/>
          </w:tcPr>
          <w:p w14:paraId="26E574E2" w14:textId="77777777" w:rsidR="00691D72" w:rsidRPr="009520BE" w:rsidRDefault="00691D72" w:rsidP="00F000B0">
            <w:pPr>
              <w:ind w:left="32"/>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Détenues par les EPE</w:t>
            </w:r>
          </w:p>
        </w:tc>
        <w:tc>
          <w:tcPr>
            <w:tcW w:w="1466" w:type="dxa"/>
          </w:tcPr>
          <w:p w14:paraId="4BC1B906" w14:textId="77777777" w:rsidR="00691D72" w:rsidRPr="009520BE" w:rsidRDefault="00691D72" w:rsidP="00F000B0">
            <w:pPr>
              <w:ind w:left="157"/>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Fermées</w:t>
            </w:r>
          </w:p>
        </w:tc>
        <w:tc>
          <w:tcPr>
            <w:tcW w:w="2235" w:type="dxa"/>
          </w:tcPr>
          <w:p w14:paraId="61E3FA7D" w14:textId="77777777" w:rsidR="00691D72" w:rsidRPr="009520BE" w:rsidRDefault="00691D72" w:rsidP="00F000B0">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Ayant déclaré</w:t>
            </w:r>
          </w:p>
        </w:tc>
        <w:tc>
          <w:tcPr>
            <w:tcW w:w="1870" w:type="dxa"/>
          </w:tcPr>
          <w:p w14:paraId="020D690D" w14:textId="77777777" w:rsidR="00691D72" w:rsidRPr="009520BE" w:rsidRDefault="00691D72" w:rsidP="00F000B0">
            <w:pPr>
              <w:ind w:left="95"/>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24"/>
                <w:szCs w:val="24"/>
              </w:rPr>
            </w:pPr>
            <w:r w:rsidRPr="009520BE">
              <w:rPr>
                <w:rFonts w:ascii="Times New Roman" w:hAnsi="Times New Roman"/>
                <w:b/>
                <w:color w:val="404040" w:themeColor="text1" w:themeTint="BF"/>
                <w:sz w:val="24"/>
                <w:szCs w:val="24"/>
              </w:rPr>
              <w:t>N’ayant pas déclaré</w:t>
            </w:r>
          </w:p>
        </w:tc>
      </w:tr>
      <w:tr w:rsidR="00691D72" w:rsidRPr="00D6058E" w14:paraId="078D324C" w14:textId="77777777" w:rsidTr="00F000B0">
        <w:trPr>
          <w:trHeight w:val="426"/>
        </w:trPr>
        <w:tc>
          <w:tcPr>
            <w:cnfStyle w:val="001000000000" w:firstRow="0" w:lastRow="0" w:firstColumn="1" w:lastColumn="0" w:oddVBand="0" w:evenVBand="0" w:oddHBand="0" w:evenHBand="0" w:firstRowFirstColumn="0" w:firstRowLastColumn="0" w:lastRowFirstColumn="0" w:lastRowLastColumn="0"/>
            <w:tcW w:w="1515" w:type="dxa"/>
          </w:tcPr>
          <w:p w14:paraId="76EECB80"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8</w:t>
            </w:r>
          </w:p>
        </w:tc>
        <w:tc>
          <w:tcPr>
            <w:tcW w:w="1976" w:type="dxa"/>
          </w:tcPr>
          <w:p w14:paraId="4201DBB8"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3</w:t>
            </w:r>
          </w:p>
        </w:tc>
        <w:tc>
          <w:tcPr>
            <w:tcW w:w="1466" w:type="dxa"/>
          </w:tcPr>
          <w:p w14:paraId="5C57032D"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10</w:t>
            </w:r>
          </w:p>
        </w:tc>
        <w:tc>
          <w:tcPr>
            <w:tcW w:w="2235" w:type="dxa"/>
          </w:tcPr>
          <w:p w14:paraId="1121AD51"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69</w:t>
            </w:r>
          </w:p>
        </w:tc>
        <w:tc>
          <w:tcPr>
            <w:tcW w:w="1870" w:type="dxa"/>
          </w:tcPr>
          <w:p w14:paraId="5402B957"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36</w:t>
            </w:r>
          </w:p>
        </w:tc>
      </w:tr>
      <w:tr w:rsidR="00691D72" w:rsidRPr="00D6058E" w14:paraId="26D5DBC8" w14:textId="77777777" w:rsidTr="00F000B0">
        <w:trPr>
          <w:trHeight w:val="418"/>
        </w:trPr>
        <w:tc>
          <w:tcPr>
            <w:cnfStyle w:val="001000000000" w:firstRow="0" w:lastRow="0" w:firstColumn="1" w:lastColumn="0" w:oddVBand="0" w:evenVBand="0" w:oddHBand="0" w:evenHBand="0" w:firstRowFirstColumn="0" w:firstRowLastColumn="0" w:lastRowFirstColumn="0" w:lastRowLastColumn="0"/>
            <w:tcW w:w="4957" w:type="dxa"/>
            <w:gridSpan w:val="3"/>
          </w:tcPr>
          <w:p w14:paraId="4ECF5278"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21</w:t>
            </w:r>
          </w:p>
        </w:tc>
        <w:tc>
          <w:tcPr>
            <w:tcW w:w="4105" w:type="dxa"/>
            <w:gridSpan w:val="2"/>
          </w:tcPr>
          <w:p w14:paraId="029B9CAA" w14:textId="77777777" w:rsidR="00691D72" w:rsidRPr="00D6058E" w:rsidRDefault="00691D72" w:rsidP="00F000B0">
            <w:pPr>
              <w:ind w:left="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6058E">
              <w:rPr>
                <w:rFonts w:ascii="Times New Roman" w:hAnsi="Times New Roman"/>
                <w:sz w:val="24"/>
                <w:szCs w:val="24"/>
              </w:rPr>
              <w:t>105</w:t>
            </w:r>
          </w:p>
        </w:tc>
      </w:tr>
      <w:tr w:rsidR="00691D72" w:rsidRPr="00D6058E" w14:paraId="1A3B9045" w14:textId="77777777" w:rsidTr="00F000B0">
        <w:trPr>
          <w:trHeight w:val="539"/>
        </w:trPr>
        <w:tc>
          <w:tcPr>
            <w:cnfStyle w:val="001000000000" w:firstRow="0" w:lastRow="0" w:firstColumn="1" w:lastColumn="0" w:oddVBand="0" w:evenVBand="0" w:oddHBand="0" w:evenHBand="0" w:firstRowFirstColumn="0" w:firstRowLastColumn="0" w:lastRowFirstColumn="0" w:lastRowLastColumn="0"/>
            <w:tcW w:w="9062" w:type="dxa"/>
            <w:gridSpan w:val="5"/>
          </w:tcPr>
          <w:p w14:paraId="755D6012" w14:textId="77777777" w:rsidR="00691D72" w:rsidRPr="00D6058E" w:rsidRDefault="00691D72" w:rsidP="00F000B0">
            <w:pPr>
              <w:ind w:left="851"/>
              <w:jc w:val="center"/>
              <w:rPr>
                <w:rFonts w:ascii="Times New Roman" w:hAnsi="Times New Roman"/>
                <w:b w:val="0"/>
                <w:sz w:val="24"/>
                <w:szCs w:val="24"/>
              </w:rPr>
            </w:pPr>
            <w:r w:rsidRPr="00D6058E">
              <w:rPr>
                <w:rFonts w:ascii="Times New Roman" w:hAnsi="Times New Roman"/>
                <w:b w:val="0"/>
                <w:sz w:val="24"/>
                <w:szCs w:val="24"/>
              </w:rPr>
              <w:t>Périmètre ITIE-RDC 2016 (mines &amp; pétrole) : 126 entreprises</w:t>
            </w:r>
          </w:p>
        </w:tc>
      </w:tr>
    </w:tbl>
    <w:p w14:paraId="7A1A791C" w14:textId="77777777" w:rsidR="00691D72" w:rsidRPr="00E72FDF" w:rsidRDefault="00691D72" w:rsidP="00691D72">
      <w:pPr>
        <w:ind w:left="851"/>
        <w:jc w:val="both"/>
        <w:rPr>
          <w:rFonts w:ascii="Times New Roman" w:hAnsi="Times New Roman"/>
          <w:sz w:val="24"/>
          <w:szCs w:val="24"/>
        </w:rPr>
      </w:pPr>
    </w:p>
    <w:p w14:paraId="64A52367" w14:textId="77777777" w:rsidR="00691D72" w:rsidRPr="00231496" w:rsidRDefault="00691D72" w:rsidP="00691D72">
      <w:pPr>
        <w:jc w:val="both"/>
        <w:rPr>
          <w:rFonts w:ascii="Times New Roman" w:hAnsi="Times New Roman"/>
          <w:b/>
          <w:sz w:val="24"/>
          <w:szCs w:val="24"/>
        </w:rPr>
      </w:pPr>
      <w:r w:rsidRPr="00231496">
        <w:rPr>
          <w:rFonts w:ascii="Times New Roman" w:hAnsi="Times New Roman"/>
          <w:b/>
          <w:sz w:val="24"/>
          <w:szCs w:val="24"/>
        </w:rPr>
        <w:lastRenderedPageBreak/>
        <w:t xml:space="preserve">Renseignements à tirer </w:t>
      </w:r>
      <w:r>
        <w:rPr>
          <w:rFonts w:ascii="Times New Roman" w:hAnsi="Times New Roman"/>
          <w:b/>
          <w:sz w:val="24"/>
          <w:szCs w:val="24"/>
        </w:rPr>
        <w:t>de la divulgation de la propriété réelle</w:t>
      </w:r>
      <w:r w:rsidRPr="00231496">
        <w:rPr>
          <w:rFonts w:ascii="Times New Roman" w:hAnsi="Times New Roman"/>
          <w:b/>
          <w:sz w:val="24"/>
          <w:szCs w:val="24"/>
        </w:rPr>
        <w:t> :</w:t>
      </w:r>
    </w:p>
    <w:p w14:paraId="2E4C068D" w14:textId="77777777" w:rsidR="00691D72" w:rsidRDefault="00691D72" w:rsidP="00691D72">
      <w:pPr>
        <w:jc w:val="both"/>
        <w:rPr>
          <w:rFonts w:ascii="Times New Roman" w:hAnsi="Times New Roman"/>
          <w:sz w:val="24"/>
          <w:szCs w:val="24"/>
        </w:rPr>
      </w:pPr>
      <w:r>
        <w:rPr>
          <w:rFonts w:ascii="Times New Roman" w:hAnsi="Times New Roman"/>
          <w:sz w:val="24"/>
          <w:szCs w:val="24"/>
        </w:rPr>
        <w:t>-</w:t>
      </w:r>
      <w:r w:rsidRPr="00E72FDF">
        <w:rPr>
          <w:rFonts w:ascii="Times New Roman" w:hAnsi="Times New Roman"/>
          <w:sz w:val="24"/>
          <w:szCs w:val="24"/>
        </w:rPr>
        <w:t xml:space="preserve">65% des entreprises astreintes à la divulgation, ont fait une déclaration sur la propriété réelle. De ces 65%, 41% se sont déclarées </w:t>
      </w:r>
      <w:r w:rsidRPr="00E72FDF">
        <w:rPr>
          <w:rFonts w:ascii="Times New Roman" w:hAnsi="Times New Roman"/>
          <w:b/>
          <w:i/>
          <w:sz w:val="24"/>
          <w:szCs w:val="24"/>
        </w:rPr>
        <w:t>« cotées en bourses »</w:t>
      </w:r>
      <w:r w:rsidRPr="00E72FDF">
        <w:rPr>
          <w:rFonts w:ascii="Times New Roman" w:hAnsi="Times New Roman"/>
          <w:sz w:val="24"/>
          <w:szCs w:val="24"/>
        </w:rPr>
        <w:t>, sans toutefois indiquer des liens vers la documentation qu’elles ont déposée auprès de ces bourses.</w:t>
      </w:r>
      <w:r>
        <w:rPr>
          <w:rFonts w:ascii="Times New Roman" w:hAnsi="Times New Roman"/>
          <w:sz w:val="24"/>
          <w:szCs w:val="24"/>
        </w:rPr>
        <w:t xml:space="preserve"> </w:t>
      </w:r>
    </w:p>
    <w:p w14:paraId="35A42AC9" w14:textId="77777777" w:rsidR="00691D72" w:rsidRDefault="00691D72" w:rsidP="00691D72">
      <w:pPr>
        <w:jc w:val="both"/>
        <w:rPr>
          <w:rFonts w:ascii="Times New Roman" w:hAnsi="Times New Roman"/>
          <w:sz w:val="24"/>
          <w:szCs w:val="24"/>
        </w:rPr>
      </w:pPr>
      <w:r>
        <w:rPr>
          <w:rFonts w:ascii="Times New Roman" w:hAnsi="Times New Roman"/>
          <w:sz w:val="24"/>
          <w:szCs w:val="24"/>
        </w:rPr>
        <w:t>-B</w:t>
      </w:r>
      <w:r w:rsidRPr="00E72FDF">
        <w:rPr>
          <w:rFonts w:ascii="Times New Roman" w:hAnsi="Times New Roman"/>
          <w:sz w:val="24"/>
          <w:szCs w:val="24"/>
        </w:rPr>
        <w:t xml:space="preserve">eaucoup d’entreprises ont encore du mal à faire la part des choses entre </w:t>
      </w:r>
      <w:r w:rsidRPr="00E72FDF">
        <w:rPr>
          <w:rFonts w:ascii="Times New Roman" w:hAnsi="Times New Roman"/>
          <w:b/>
          <w:i/>
          <w:sz w:val="24"/>
          <w:szCs w:val="24"/>
        </w:rPr>
        <w:t>« propriétaire légal »</w:t>
      </w:r>
      <w:r w:rsidRPr="00E72FDF">
        <w:rPr>
          <w:rFonts w:ascii="Times New Roman" w:hAnsi="Times New Roman"/>
          <w:sz w:val="24"/>
          <w:szCs w:val="24"/>
        </w:rPr>
        <w:t xml:space="preserve"> et </w:t>
      </w:r>
      <w:r w:rsidRPr="00E72FDF">
        <w:rPr>
          <w:rFonts w:ascii="Times New Roman" w:hAnsi="Times New Roman"/>
          <w:b/>
          <w:i/>
          <w:sz w:val="24"/>
          <w:szCs w:val="24"/>
        </w:rPr>
        <w:t>« propriétaire réel »</w:t>
      </w:r>
      <w:r>
        <w:rPr>
          <w:rFonts w:ascii="Times New Roman" w:hAnsi="Times New Roman"/>
          <w:b/>
          <w:i/>
          <w:sz w:val="24"/>
          <w:szCs w:val="24"/>
        </w:rPr>
        <w:t xml:space="preserve"> : </w:t>
      </w:r>
      <w:r w:rsidRPr="00E72FDF">
        <w:rPr>
          <w:rFonts w:ascii="Times New Roman" w:hAnsi="Times New Roman"/>
          <w:sz w:val="24"/>
          <w:szCs w:val="24"/>
        </w:rPr>
        <w:t>un propriétaire réel</w:t>
      </w:r>
      <w:r>
        <w:rPr>
          <w:rFonts w:ascii="Times New Roman" w:hAnsi="Times New Roman"/>
          <w:sz w:val="24"/>
          <w:szCs w:val="24"/>
        </w:rPr>
        <w:t xml:space="preserve"> est </w:t>
      </w:r>
      <w:r w:rsidRPr="00E72FDF">
        <w:rPr>
          <w:rFonts w:ascii="Times New Roman" w:hAnsi="Times New Roman"/>
          <w:sz w:val="24"/>
          <w:szCs w:val="24"/>
        </w:rPr>
        <w:t>toujours une personne physique</w:t>
      </w:r>
      <w:r>
        <w:rPr>
          <w:rFonts w:ascii="Times New Roman" w:hAnsi="Times New Roman"/>
          <w:sz w:val="24"/>
          <w:szCs w:val="24"/>
        </w:rPr>
        <w:t xml:space="preserve"> et</w:t>
      </w:r>
      <w:r w:rsidRPr="00E72FDF">
        <w:rPr>
          <w:rFonts w:ascii="Times New Roman" w:hAnsi="Times New Roman"/>
          <w:sz w:val="24"/>
          <w:szCs w:val="24"/>
        </w:rPr>
        <w:t xml:space="preserve"> ne peut pas être une personne morale</w:t>
      </w:r>
      <w:r>
        <w:rPr>
          <w:rFonts w:ascii="Times New Roman" w:hAnsi="Times New Roman"/>
          <w:sz w:val="24"/>
          <w:szCs w:val="24"/>
        </w:rPr>
        <w:t>.</w:t>
      </w:r>
    </w:p>
    <w:p w14:paraId="760A3982" w14:textId="77777777" w:rsidR="00691D72" w:rsidRDefault="00691D72" w:rsidP="00691D72">
      <w:pPr>
        <w:jc w:val="both"/>
        <w:rPr>
          <w:rFonts w:ascii="Times New Roman" w:hAnsi="Times New Roman"/>
          <w:sz w:val="24"/>
          <w:szCs w:val="24"/>
        </w:rPr>
      </w:pPr>
      <w:r>
        <w:rPr>
          <w:rFonts w:ascii="Times New Roman" w:hAnsi="Times New Roman"/>
          <w:sz w:val="24"/>
          <w:szCs w:val="24"/>
        </w:rPr>
        <w:t xml:space="preserve">Un propriétaire légal est un actionnaire, </w:t>
      </w:r>
      <w:r w:rsidRPr="00E72FDF">
        <w:rPr>
          <w:rFonts w:ascii="Times New Roman" w:hAnsi="Times New Roman"/>
          <w:sz w:val="24"/>
          <w:szCs w:val="24"/>
        </w:rPr>
        <w:t>personne physique</w:t>
      </w:r>
      <w:r>
        <w:rPr>
          <w:rFonts w:ascii="Times New Roman" w:hAnsi="Times New Roman"/>
          <w:sz w:val="24"/>
          <w:szCs w:val="24"/>
        </w:rPr>
        <w:t xml:space="preserve"> ou </w:t>
      </w:r>
      <w:r w:rsidRPr="00E72FDF">
        <w:rPr>
          <w:rFonts w:ascii="Times New Roman" w:hAnsi="Times New Roman"/>
          <w:sz w:val="24"/>
          <w:szCs w:val="24"/>
        </w:rPr>
        <w:t>morale</w:t>
      </w:r>
      <w:r>
        <w:rPr>
          <w:rFonts w:ascii="Times New Roman" w:hAnsi="Times New Roman"/>
          <w:sz w:val="24"/>
          <w:szCs w:val="24"/>
        </w:rPr>
        <w:t>, dont le nom ou la raison sociale est inscrit(e) dans les Statuts et dans le contrat.</w:t>
      </w:r>
    </w:p>
    <w:p w14:paraId="014D1DED" w14:textId="77777777" w:rsidR="00691D72" w:rsidRPr="003A7F32" w:rsidRDefault="00691D72" w:rsidP="00691D72">
      <w:pPr>
        <w:autoSpaceDE w:val="0"/>
        <w:autoSpaceDN w:val="0"/>
        <w:adjustRightInd w:val="0"/>
        <w:spacing w:after="0"/>
        <w:jc w:val="both"/>
        <w:rPr>
          <w:rFonts w:ascii="Times New Roman" w:hAnsi="Times New Roman"/>
          <w:sz w:val="24"/>
          <w:szCs w:val="24"/>
        </w:rPr>
      </w:pPr>
      <w:r>
        <w:rPr>
          <w:rFonts w:ascii="Times New Roman" w:eastAsia="Yu Gothic UI" w:hAnsi="Times New Roman"/>
          <w:bCs/>
          <w:color w:val="000000"/>
          <w:sz w:val="24"/>
          <w:szCs w:val="24"/>
        </w:rPr>
        <w:t>U</w:t>
      </w:r>
      <w:r w:rsidRPr="003A7F32">
        <w:rPr>
          <w:rFonts w:ascii="Times New Roman" w:eastAsia="Yu Gothic UI" w:hAnsi="Times New Roman"/>
          <w:bCs/>
          <w:color w:val="000000"/>
          <w:sz w:val="24"/>
          <w:szCs w:val="24"/>
        </w:rPr>
        <w:t xml:space="preserve">n (Les) propriétaire(s) réel(s) d’une entreprise est (sont) la (ou les) </w:t>
      </w:r>
      <w:r>
        <w:rPr>
          <w:rFonts w:ascii="Times New Roman" w:eastAsia="Yu Gothic UI" w:hAnsi="Times New Roman"/>
          <w:bCs/>
          <w:color w:val="000000"/>
          <w:sz w:val="24"/>
          <w:szCs w:val="24"/>
        </w:rPr>
        <w:t xml:space="preserve">personne(s) physique(s) </w:t>
      </w:r>
      <w:r w:rsidRPr="003A7F32">
        <w:rPr>
          <w:rFonts w:ascii="Times New Roman" w:eastAsia="Yu Gothic UI" w:hAnsi="Times New Roman"/>
          <w:bCs/>
          <w:color w:val="000000"/>
          <w:sz w:val="24"/>
          <w:szCs w:val="24"/>
        </w:rPr>
        <w:t>qui, directement ou indirectement, possède(nt) ou</w:t>
      </w:r>
      <w:r>
        <w:rPr>
          <w:rFonts w:ascii="Times New Roman" w:hAnsi="Times New Roman"/>
          <w:bCs/>
          <w:sz w:val="24"/>
          <w:szCs w:val="24"/>
        </w:rPr>
        <w:t xml:space="preserve"> </w:t>
      </w:r>
      <w:r w:rsidRPr="003A7F32">
        <w:rPr>
          <w:rFonts w:ascii="Times New Roman" w:eastAsia="Yu Gothic UI" w:hAnsi="Times New Roman"/>
          <w:bCs/>
          <w:color w:val="000000"/>
          <w:sz w:val="24"/>
          <w:szCs w:val="24"/>
        </w:rPr>
        <w:t>exerce(nt)</w:t>
      </w:r>
      <w:r>
        <w:rPr>
          <w:rFonts w:ascii="Times New Roman" w:eastAsia="Yu Gothic UI" w:hAnsi="Times New Roman"/>
          <w:bCs/>
          <w:color w:val="000000"/>
          <w:sz w:val="24"/>
          <w:szCs w:val="24"/>
        </w:rPr>
        <w:t xml:space="preserve"> en dernier ressort le droit de </w:t>
      </w:r>
      <w:r w:rsidRPr="003A7F32">
        <w:rPr>
          <w:rFonts w:ascii="Times New Roman" w:eastAsia="Yu Gothic UI" w:hAnsi="Times New Roman"/>
          <w:bCs/>
          <w:color w:val="000000"/>
          <w:sz w:val="24"/>
          <w:szCs w:val="24"/>
        </w:rPr>
        <w:t>propriété ou le contrôle de l’entité</w:t>
      </w:r>
      <w:r>
        <w:rPr>
          <w:rFonts w:ascii="Times New Roman" w:hAnsi="Times New Roman"/>
          <w:bCs/>
          <w:sz w:val="24"/>
          <w:szCs w:val="24"/>
        </w:rPr>
        <w:t xml:space="preserve"> </w:t>
      </w:r>
      <w:r w:rsidRPr="003A7F32">
        <w:rPr>
          <w:rFonts w:ascii="Times New Roman" w:eastAsia="Yu Gothic UI" w:hAnsi="Times New Roman"/>
          <w:bCs/>
          <w:color w:val="000000"/>
          <w:sz w:val="24"/>
          <w:szCs w:val="24"/>
        </w:rPr>
        <w:t>juridique</w:t>
      </w:r>
      <w:r>
        <w:rPr>
          <w:rFonts w:ascii="Times New Roman" w:eastAsia="Yu Gothic UI" w:hAnsi="Times New Roman"/>
          <w:bCs/>
          <w:color w:val="000000"/>
          <w:sz w:val="24"/>
          <w:szCs w:val="24"/>
        </w:rPr>
        <w:t xml:space="preserve"> (Norme ITIE)</w:t>
      </w:r>
      <w:r w:rsidRPr="003A7F32">
        <w:rPr>
          <w:rFonts w:ascii="Times New Roman" w:eastAsia="Yu Gothic UI" w:hAnsi="Times New Roman"/>
          <w:bCs/>
          <w:color w:val="000000"/>
          <w:sz w:val="24"/>
          <w:szCs w:val="24"/>
        </w:rPr>
        <w:t>.</w:t>
      </w:r>
    </w:p>
    <w:p w14:paraId="0681BD95" w14:textId="77777777" w:rsidR="00691D72" w:rsidRPr="00E72FDF" w:rsidRDefault="00691D72" w:rsidP="00691D72">
      <w:pPr>
        <w:jc w:val="both"/>
        <w:rPr>
          <w:rFonts w:ascii="Times New Roman" w:hAnsi="Times New Roman"/>
          <w:sz w:val="24"/>
          <w:szCs w:val="24"/>
        </w:rPr>
      </w:pPr>
    </w:p>
    <w:p w14:paraId="3A529E40" w14:textId="77777777" w:rsidR="00691D72" w:rsidRPr="00C626DE" w:rsidRDefault="00691D72" w:rsidP="00691D72">
      <w:pPr>
        <w:jc w:val="both"/>
        <w:rPr>
          <w:rFonts w:ascii="Times New Roman" w:hAnsi="Times New Roman"/>
          <w:sz w:val="24"/>
          <w:szCs w:val="24"/>
        </w:rPr>
      </w:pPr>
      <w:r>
        <w:rPr>
          <w:rFonts w:ascii="Times New Roman" w:hAnsi="Times New Roman"/>
          <w:sz w:val="24"/>
          <w:szCs w:val="24"/>
        </w:rPr>
        <w:t>-</w:t>
      </w:r>
      <w:r w:rsidRPr="00E72FDF">
        <w:rPr>
          <w:rFonts w:ascii="Times New Roman" w:hAnsi="Times New Roman"/>
          <w:sz w:val="24"/>
          <w:szCs w:val="24"/>
        </w:rPr>
        <w:t>90%</w:t>
      </w:r>
      <w:r>
        <w:rPr>
          <w:rFonts w:ascii="Times New Roman" w:hAnsi="Times New Roman"/>
          <w:sz w:val="24"/>
          <w:szCs w:val="24"/>
        </w:rPr>
        <w:t xml:space="preserve"> (estimatif)</w:t>
      </w:r>
      <w:r w:rsidRPr="00E72FDF">
        <w:rPr>
          <w:rFonts w:ascii="Times New Roman" w:hAnsi="Times New Roman"/>
          <w:sz w:val="24"/>
          <w:szCs w:val="24"/>
        </w:rPr>
        <w:t xml:space="preserve"> des déclarations obtenues, ne reprennent pas le détail des informations telles qu’elles sont requises par la Norme et par le formulaire.</w:t>
      </w:r>
      <w:r>
        <w:rPr>
          <w:rFonts w:ascii="Times New Roman" w:hAnsi="Times New Roman"/>
          <w:sz w:val="24"/>
          <w:szCs w:val="24"/>
        </w:rPr>
        <w:t xml:space="preserve"> Il manque plus la date d’acquisition de la </w:t>
      </w:r>
      <w:r w:rsidRPr="00E72FDF">
        <w:rPr>
          <w:rFonts w:ascii="Times New Roman" w:hAnsi="Times New Roman"/>
          <w:sz w:val="24"/>
          <w:szCs w:val="24"/>
        </w:rPr>
        <w:t>propriété réelle</w:t>
      </w:r>
      <w:r>
        <w:rPr>
          <w:rFonts w:ascii="Times New Roman" w:hAnsi="Times New Roman"/>
          <w:sz w:val="24"/>
          <w:szCs w:val="24"/>
        </w:rPr>
        <w:t xml:space="preserve"> et les moyens de contact,</w:t>
      </w:r>
      <w:r w:rsidRPr="00C626DE">
        <w:rPr>
          <w:rFonts w:eastAsia="Times New Roman" w:cs="Calibri"/>
          <w:color w:val="FF0000"/>
          <w:sz w:val="18"/>
          <w:szCs w:val="18"/>
          <w:lang w:eastAsia="fr-FR"/>
        </w:rPr>
        <w:t xml:space="preserve"> </w:t>
      </w:r>
      <w:r w:rsidRPr="00C626DE">
        <w:rPr>
          <w:rFonts w:ascii="Times New Roman" w:eastAsia="Times New Roman" w:hAnsi="Times New Roman"/>
          <w:sz w:val="24"/>
          <w:szCs w:val="24"/>
          <w:lang w:eastAsia="fr-FR"/>
        </w:rPr>
        <w:t>la date de naissance et/ou numéro d'identification national et le pays d résidence</w:t>
      </w:r>
      <w:r w:rsidRPr="00C626DE">
        <w:rPr>
          <w:rFonts w:ascii="Times New Roman" w:hAnsi="Times New Roman"/>
          <w:sz w:val="24"/>
          <w:szCs w:val="24"/>
        </w:rPr>
        <w:t>.</w:t>
      </w:r>
    </w:p>
    <w:p w14:paraId="701E5C8A" w14:textId="4F299AFE" w:rsidR="00691D72" w:rsidRDefault="00232958">
      <w:pPr>
        <w:rPr>
          <w:rStyle w:val="Lienhypertexte"/>
          <w:rFonts w:ascii="Times New Roman" w:hAnsi="Times New Roman"/>
          <w:sz w:val="24"/>
          <w:szCs w:val="24"/>
        </w:rPr>
      </w:pPr>
      <w:r>
        <w:rPr>
          <w:rFonts w:ascii="Times New Roman" w:hAnsi="Times New Roman"/>
          <w:noProof/>
          <w:color w:val="0000FF"/>
          <w:sz w:val="24"/>
          <w:szCs w:val="24"/>
          <w:u w:val="single"/>
          <w:lang w:eastAsia="fr-FR"/>
        </w:rPr>
        <mc:AlternateContent>
          <mc:Choice Requires="wps">
            <w:drawing>
              <wp:anchor distT="0" distB="0" distL="114300" distR="114300" simplePos="0" relativeHeight="251661312" behindDoc="0" locked="0" layoutInCell="1" allowOverlap="1" wp14:anchorId="0A2BE8C7" wp14:editId="6A7534CD">
                <wp:simplePos x="0" y="0"/>
                <wp:positionH relativeFrom="margin">
                  <wp:align>right</wp:align>
                </wp:positionH>
                <wp:positionV relativeFrom="paragraph">
                  <wp:posOffset>136843</wp:posOffset>
                </wp:positionV>
                <wp:extent cx="6096000" cy="1852612"/>
                <wp:effectExtent l="0" t="0" r="19050" b="14605"/>
                <wp:wrapNone/>
                <wp:docPr id="13" name="Zone de texte 13"/>
                <wp:cNvGraphicFramePr/>
                <a:graphic xmlns:a="http://schemas.openxmlformats.org/drawingml/2006/main">
                  <a:graphicData uri="http://schemas.microsoft.com/office/word/2010/wordprocessingShape">
                    <wps:wsp>
                      <wps:cNvSpPr txBox="1"/>
                      <wps:spPr>
                        <a:xfrm>
                          <a:off x="0" y="0"/>
                          <a:ext cx="6096000" cy="1852612"/>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247226F" w14:textId="7CDD1AB0" w:rsidR="00553BF2" w:rsidRDefault="00553BF2">
                            <w:pPr>
                              <w:rPr>
                                <w:b/>
                                <w:color w:val="002060"/>
                                <w:u w:val="single"/>
                              </w:rPr>
                            </w:pPr>
                            <w:r w:rsidRPr="00232958">
                              <w:rPr>
                                <w:rFonts w:ascii="Times New Roman" w:hAnsi="Times New Roman"/>
                                <w:b/>
                                <w:color w:val="002060"/>
                                <w:sz w:val="24"/>
                                <w:szCs w:val="24"/>
                                <w:u w:val="single"/>
                              </w:rPr>
                              <w:t>Recommandation</w:t>
                            </w:r>
                            <w:r>
                              <w:rPr>
                                <w:rFonts w:ascii="Times New Roman" w:hAnsi="Times New Roman"/>
                                <w:b/>
                                <w:color w:val="002060"/>
                                <w:sz w:val="24"/>
                                <w:szCs w:val="24"/>
                                <w:u w:val="single"/>
                              </w:rPr>
                              <w:t>s</w:t>
                            </w:r>
                            <w:r w:rsidRPr="00D256CC">
                              <w:rPr>
                                <w:rFonts w:ascii="Times New Roman" w:hAnsi="Times New Roman"/>
                                <w:b/>
                                <w:color w:val="00206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(2)</w:t>
                            </w:r>
                          </w:p>
                          <w:p w14:paraId="54617F00" w14:textId="5A4D9FD6" w:rsidR="00553BF2" w:rsidRPr="00232958" w:rsidRDefault="00553BF2">
                            <w:pPr>
                              <w:rPr>
                                <w:rFonts w:ascii="Times New Roman" w:hAnsi="Times New Roman"/>
                                <w:color w:val="3B3838" w:themeColor="background2" w:themeShade="40"/>
                                <w:sz w:val="24"/>
                                <w:szCs w:val="24"/>
                              </w:rPr>
                            </w:pPr>
                            <w:r w:rsidRPr="00232958">
                              <w:rPr>
                                <w:rFonts w:ascii="Times New Roman" w:hAnsi="Times New Roman"/>
                                <w:b/>
                                <w:color w:val="3B3838" w:themeColor="background2" w:themeShade="40"/>
                                <w:sz w:val="24"/>
                                <w:szCs w:val="24"/>
                              </w:rPr>
                              <w:t>Aux Entreprises</w:t>
                            </w:r>
                            <w:r w:rsidRPr="00232958">
                              <w:rPr>
                                <w:rFonts w:ascii="Times New Roman" w:hAnsi="Times New Roman"/>
                                <w:color w:val="3B3838" w:themeColor="background2" w:themeShade="40"/>
                                <w:sz w:val="24"/>
                                <w:szCs w:val="24"/>
                              </w:rPr>
                              <w:t> :</w:t>
                            </w:r>
                          </w:p>
                          <w:p w14:paraId="63D7C907" w14:textId="0C85E6E5" w:rsidR="00553BF2" w:rsidRDefault="00553BF2"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 xml:space="preserve">De respecter les consignes de remplissage relatives au formulaire de déclaration de la propriété réelle et de la structure du capital. </w:t>
                            </w:r>
                          </w:p>
                          <w:p w14:paraId="0DFD912B" w14:textId="6DA3E79A" w:rsidR="00553BF2" w:rsidRPr="00B34CC3" w:rsidRDefault="00553BF2" w:rsidP="00232958">
                            <w:pPr>
                              <w:jc w:val="both"/>
                              <w:rPr>
                                <w:rFonts w:ascii="Times New Roman" w:hAnsi="Times New Roman"/>
                                <w:b/>
                                <w:color w:val="3B3838" w:themeColor="background2" w:themeShade="40"/>
                                <w:sz w:val="24"/>
                                <w:szCs w:val="24"/>
                              </w:rPr>
                            </w:pPr>
                            <w:r>
                              <w:rPr>
                                <w:rFonts w:ascii="Times New Roman" w:hAnsi="Times New Roman"/>
                                <w:b/>
                                <w:color w:val="3B3838" w:themeColor="background2" w:themeShade="40"/>
                                <w:sz w:val="24"/>
                                <w:szCs w:val="24"/>
                              </w:rPr>
                              <w:t>Au Comité E</w:t>
                            </w:r>
                            <w:r w:rsidRPr="00B34CC3">
                              <w:rPr>
                                <w:rFonts w:ascii="Times New Roman" w:hAnsi="Times New Roman"/>
                                <w:b/>
                                <w:color w:val="3B3838" w:themeColor="background2" w:themeShade="40"/>
                                <w:sz w:val="24"/>
                                <w:szCs w:val="24"/>
                              </w:rPr>
                              <w:t>xécutif :</w:t>
                            </w:r>
                          </w:p>
                          <w:p w14:paraId="5140FD5B" w14:textId="7B8D4C3D" w:rsidR="00553BF2" w:rsidRDefault="00553BF2"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De respecter les échéances d’exécution des activités de la Feuille de route relative à la divulgation de la propriété réelle.</w:t>
                            </w:r>
                          </w:p>
                          <w:p w14:paraId="6869E17E" w14:textId="77777777" w:rsidR="00553BF2" w:rsidRPr="00232958" w:rsidRDefault="00553BF2" w:rsidP="00232958">
                            <w:pPr>
                              <w:jc w:val="both"/>
                              <w:rPr>
                                <w:rFonts w:ascii="Times New Roman" w:hAnsi="Times New Roman"/>
                                <w:color w:val="3B3838" w:themeColor="background2" w:themeShade="40"/>
                                <w:sz w:val="24"/>
                                <w:szCs w:val="24"/>
                              </w:rPr>
                            </w:pPr>
                          </w:p>
                          <w:p w14:paraId="5C53032E" w14:textId="77777777" w:rsidR="00553BF2" w:rsidRPr="00232958" w:rsidRDefault="00553BF2">
                            <w:pPr>
                              <w:rPr>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2BE8C7" id="Zone de texte 13" o:spid="_x0000_s1030" type="#_x0000_t202" style="position:absolute;margin-left:428.8pt;margin-top:10.8pt;width:480pt;height:145.8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" fillcolor="#deeaf6 [660]" strokecolor="#deeaf6 [660]" strokeweight=".5pt">
                <v:textbox>
                  <w:txbxContent>
                    <w:p w14:paraId="4247226F" w14:textId="7CDD1AB0" w:rsidR="00553BF2" w:rsidRDefault="00553BF2">
                      <w:pPr>
                        <w:rPr>
                          <w:b/>
                          <w:color w:val="002060"/>
                          <w:u w:val="single"/>
                        </w:rPr>
                      </w:pPr>
                      <w:r w:rsidRPr="00232958">
                        <w:rPr>
                          <w:rFonts w:ascii="Times New Roman" w:hAnsi="Times New Roman"/>
                          <w:b/>
                          <w:color w:val="002060"/>
                          <w:sz w:val="24"/>
                          <w:szCs w:val="24"/>
                          <w:u w:val="single"/>
                        </w:rPr>
                        <w:t>Recommandation</w:t>
                      </w:r>
                      <w:r>
                        <w:rPr>
                          <w:rFonts w:ascii="Times New Roman" w:hAnsi="Times New Roman"/>
                          <w:b/>
                          <w:color w:val="002060"/>
                          <w:sz w:val="24"/>
                          <w:szCs w:val="24"/>
                          <w:u w:val="single"/>
                        </w:rPr>
                        <w:t>s</w:t>
                      </w:r>
                      <w:r w:rsidRPr="00D256CC">
                        <w:rPr>
                          <w:rFonts w:ascii="Times New Roman" w:hAnsi="Times New Roman"/>
                          <w:b/>
                          <w:color w:val="00206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(2)</w:t>
                      </w:r>
                    </w:p>
                    <w:p w14:paraId="54617F00" w14:textId="5A4D9FD6" w:rsidR="00553BF2" w:rsidRPr="00232958" w:rsidRDefault="00553BF2">
                      <w:pPr>
                        <w:rPr>
                          <w:rFonts w:ascii="Times New Roman" w:hAnsi="Times New Roman"/>
                          <w:color w:val="3B3838" w:themeColor="background2" w:themeShade="40"/>
                          <w:sz w:val="24"/>
                          <w:szCs w:val="24"/>
                        </w:rPr>
                      </w:pPr>
                      <w:r w:rsidRPr="00232958">
                        <w:rPr>
                          <w:rFonts w:ascii="Times New Roman" w:hAnsi="Times New Roman"/>
                          <w:b/>
                          <w:color w:val="3B3838" w:themeColor="background2" w:themeShade="40"/>
                          <w:sz w:val="24"/>
                          <w:szCs w:val="24"/>
                        </w:rPr>
                        <w:t>Aux Entreprises</w:t>
                      </w:r>
                      <w:r w:rsidRPr="00232958">
                        <w:rPr>
                          <w:rFonts w:ascii="Times New Roman" w:hAnsi="Times New Roman"/>
                          <w:color w:val="3B3838" w:themeColor="background2" w:themeShade="40"/>
                          <w:sz w:val="24"/>
                          <w:szCs w:val="24"/>
                        </w:rPr>
                        <w:t> :</w:t>
                      </w:r>
                    </w:p>
                    <w:p w14:paraId="63D7C907" w14:textId="0C85E6E5" w:rsidR="00553BF2" w:rsidRDefault="00553BF2"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 xml:space="preserve">De respecter les consignes de remplissage relatives au formulaire de déclaration de la propriété réelle et de la structure du capital. </w:t>
                      </w:r>
                    </w:p>
                    <w:p w14:paraId="0DFD912B" w14:textId="6DA3E79A" w:rsidR="00553BF2" w:rsidRPr="00B34CC3" w:rsidRDefault="00553BF2" w:rsidP="00232958">
                      <w:pPr>
                        <w:jc w:val="both"/>
                        <w:rPr>
                          <w:rFonts w:ascii="Times New Roman" w:hAnsi="Times New Roman"/>
                          <w:b/>
                          <w:color w:val="3B3838" w:themeColor="background2" w:themeShade="40"/>
                          <w:sz w:val="24"/>
                          <w:szCs w:val="24"/>
                        </w:rPr>
                      </w:pPr>
                      <w:r>
                        <w:rPr>
                          <w:rFonts w:ascii="Times New Roman" w:hAnsi="Times New Roman"/>
                          <w:b/>
                          <w:color w:val="3B3838" w:themeColor="background2" w:themeShade="40"/>
                          <w:sz w:val="24"/>
                          <w:szCs w:val="24"/>
                        </w:rPr>
                        <w:t>Au Comité E</w:t>
                      </w:r>
                      <w:r w:rsidRPr="00B34CC3">
                        <w:rPr>
                          <w:rFonts w:ascii="Times New Roman" w:hAnsi="Times New Roman"/>
                          <w:b/>
                          <w:color w:val="3B3838" w:themeColor="background2" w:themeShade="40"/>
                          <w:sz w:val="24"/>
                          <w:szCs w:val="24"/>
                        </w:rPr>
                        <w:t>xécutif :</w:t>
                      </w:r>
                    </w:p>
                    <w:p w14:paraId="5140FD5B" w14:textId="7B8D4C3D" w:rsidR="00553BF2" w:rsidRDefault="00553BF2" w:rsidP="00232958">
                      <w:pPr>
                        <w:jc w:val="both"/>
                        <w:rPr>
                          <w:rFonts w:ascii="Times New Roman" w:hAnsi="Times New Roman"/>
                          <w:color w:val="3B3838" w:themeColor="background2" w:themeShade="40"/>
                          <w:sz w:val="24"/>
                          <w:szCs w:val="24"/>
                        </w:rPr>
                      </w:pPr>
                      <w:r>
                        <w:rPr>
                          <w:rFonts w:ascii="Times New Roman" w:hAnsi="Times New Roman"/>
                          <w:color w:val="3B3838" w:themeColor="background2" w:themeShade="40"/>
                          <w:sz w:val="24"/>
                          <w:szCs w:val="24"/>
                        </w:rPr>
                        <w:t>De respecter les échéances d’exécution des activités de la Feuille de route relative à la divulgation de la propriété réelle.</w:t>
                      </w:r>
                    </w:p>
                    <w:p w14:paraId="6869E17E" w14:textId="77777777" w:rsidR="00553BF2" w:rsidRPr="00232958" w:rsidRDefault="00553BF2" w:rsidP="00232958">
                      <w:pPr>
                        <w:jc w:val="both"/>
                        <w:rPr>
                          <w:rFonts w:ascii="Times New Roman" w:hAnsi="Times New Roman"/>
                          <w:color w:val="3B3838" w:themeColor="background2" w:themeShade="40"/>
                          <w:sz w:val="24"/>
                          <w:szCs w:val="24"/>
                        </w:rPr>
                      </w:pPr>
                    </w:p>
                    <w:p w14:paraId="5C53032E" w14:textId="77777777" w:rsidR="00553BF2" w:rsidRPr="00232958" w:rsidRDefault="00553BF2">
                      <w:pPr>
                        <w:rPr>
                          <w:color w:val="3B3838" w:themeColor="background2" w:themeShade="40"/>
                        </w:rPr>
                      </w:pPr>
                    </w:p>
                  </w:txbxContent>
                </v:textbox>
                <w10:wrap anchorx="margin"/>
              </v:shape>
            </w:pict>
          </mc:Fallback>
        </mc:AlternateContent>
      </w:r>
      <w:r w:rsidR="00691D72">
        <w:rPr>
          <w:rStyle w:val="Lienhypertexte"/>
          <w:rFonts w:ascii="Times New Roman" w:hAnsi="Times New Roman"/>
          <w:sz w:val="24"/>
          <w:szCs w:val="24"/>
        </w:rPr>
        <w:br w:type="page"/>
      </w:r>
    </w:p>
    <w:p w14:paraId="57D10282" w14:textId="77777777" w:rsidR="00157F17" w:rsidRDefault="00157F17">
      <w:pPr>
        <w:rPr>
          <w:rStyle w:val="Lienhypertexte"/>
          <w:rFonts w:ascii="Times New Roman" w:hAnsi="Times New Roman"/>
          <w:sz w:val="24"/>
          <w:szCs w:val="24"/>
        </w:rPr>
      </w:pPr>
    </w:p>
    <w:p w14:paraId="085A101E" w14:textId="262DC402" w:rsidR="00157F17" w:rsidRPr="00840E13" w:rsidRDefault="00B41722" w:rsidP="0054038F">
      <w:pPr>
        <w:pStyle w:val="Titre1"/>
        <w:numPr>
          <w:ilvl w:val="0"/>
          <w:numId w:val="4"/>
        </w:numPr>
        <w:ind w:left="426" w:hanging="425"/>
        <w:rPr>
          <w:rFonts w:ascii="Times New Roman" w:hAnsi="Times New Roman" w:cs="Times New Roman"/>
          <w:sz w:val="28"/>
          <w:szCs w:val="28"/>
        </w:rPr>
      </w:pPr>
      <w:bookmarkStart w:id="140" w:name="_Toc516047992"/>
      <w:bookmarkStart w:id="141" w:name="_Toc518468080"/>
      <w:r w:rsidRPr="00840E13">
        <w:rPr>
          <w:rFonts w:ascii="Times New Roman" w:hAnsi="Times New Roman" w:cs="Times New Roman"/>
          <w:caps w:val="0"/>
          <w:sz w:val="28"/>
          <w:szCs w:val="28"/>
        </w:rPr>
        <w:t>PROSPECTION</w:t>
      </w:r>
      <w:r>
        <w:rPr>
          <w:rFonts w:ascii="Times New Roman" w:hAnsi="Times New Roman" w:cs="Times New Roman"/>
          <w:caps w:val="0"/>
          <w:sz w:val="28"/>
          <w:szCs w:val="28"/>
        </w:rPr>
        <w:t>, PRODUCTION</w:t>
      </w:r>
      <w:r w:rsidRPr="00840E13">
        <w:rPr>
          <w:rFonts w:ascii="Times New Roman" w:hAnsi="Times New Roman" w:cs="Times New Roman"/>
          <w:caps w:val="0"/>
          <w:sz w:val="28"/>
          <w:szCs w:val="28"/>
        </w:rPr>
        <w:t xml:space="preserve"> ET EXP</w:t>
      </w:r>
      <w:r>
        <w:rPr>
          <w:rFonts w:ascii="Times New Roman" w:hAnsi="Times New Roman" w:cs="Times New Roman"/>
          <w:caps w:val="0"/>
          <w:sz w:val="28"/>
          <w:szCs w:val="28"/>
        </w:rPr>
        <w:t>ORT</w:t>
      </w:r>
      <w:r w:rsidRPr="00840E13">
        <w:rPr>
          <w:rFonts w:ascii="Times New Roman" w:hAnsi="Times New Roman" w:cs="Times New Roman"/>
          <w:caps w:val="0"/>
          <w:sz w:val="28"/>
          <w:szCs w:val="28"/>
        </w:rPr>
        <w:t>ATION</w:t>
      </w:r>
      <w:r>
        <w:rPr>
          <w:rFonts w:ascii="Times New Roman" w:hAnsi="Times New Roman" w:cs="Times New Roman"/>
          <w:caps w:val="0"/>
          <w:sz w:val="28"/>
          <w:szCs w:val="28"/>
        </w:rPr>
        <w:t>S</w:t>
      </w:r>
      <w:bookmarkEnd w:id="140"/>
      <w:bookmarkEnd w:id="141"/>
    </w:p>
    <w:p w14:paraId="02290F0B" w14:textId="77777777" w:rsidR="00157F17" w:rsidRPr="00840E13" w:rsidRDefault="00157F17" w:rsidP="00157F17">
      <w:pPr>
        <w:keepNext/>
        <w:spacing w:after="0" w:line="240" w:lineRule="auto"/>
        <w:contextualSpacing/>
        <w:jc w:val="both"/>
        <w:rPr>
          <w:rFonts w:ascii="Times New Roman" w:hAnsi="Times New Roman"/>
          <w:b/>
          <w:sz w:val="20"/>
          <w:szCs w:val="44"/>
        </w:rPr>
      </w:pPr>
    </w:p>
    <w:p w14:paraId="7C32B8B0" w14:textId="5D7FD66A" w:rsidR="00157F17" w:rsidRPr="00840E13" w:rsidRDefault="00157F17" w:rsidP="0054038F">
      <w:pPr>
        <w:pStyle w:val="Titre2"/>
        <w:ind w:left="142"/>
        <w:rPr>
          <w:rFonts w:ascii="Times New Roman" w:hAnsi="Times New Roman" w:cs="Times New Roman"/>
          <w:sz w:val="24"/>
          <w:szCs w:val="24"/>
        </w:rPr>
      </w:pPr>
      <w:bookmarkStart w:id="142" w:name="_Toc516047993"/>
      <w:bookmarkStart w:id="143" w:name="_Toc518468081"/>
      <w:r>
        <w:rPr>
          <w:rFonts w:ascii="Times New Roman" w:hAnsi="Times New Roman" w:cs="Times New Roman"/>
          <w:sz w:val="24"/>
          <w:szCs w:val="24"/>
        </w:rPr>
        <w:t>V</w:t>
      </w:r>
      <w:r w:rsidR="0054038F">
        <w:rPr>
          <w:rFonts w:ascii="Times New Roman" w:hAnsi="Times New Roman" w:cs="Times New Roman"/>
          <w:sz w:val="24"/>
          <w:szCs w:val="24"/>
        </w:rPr>
        <w:t>I</w:t>
      </w:r>
      <w:r>
        <w:rPr>
          <w:rFonts w:ascii="Times New Roman" w:hAnsi="Times New Roman" w:cs="Times New Roman"/>
          <w:sz w:val="24"/>
          <w:szCs w:val="24"/>
        </w:rPr>
        <w:t xml:space="preserve">.1. </w:t>
      </w:r>
      <w:r w:rsidR="00232958" w:rsidRPr="00840E13">
        <w:rPr>
          <w:rFonts w:ascii="Times New Roman" w:hAnsi="Times New Roman" w:cs="Times New Roman"/>
          <w:caps w:val="0"/>
          <w:sz w:val="24"/>
          <w:szCs w:val="24"/>
        </w:rPr>
        <w:t>Activité de prospection</w:t>
      </w:r>
      <w:bookmarkEnd w:id="142"/>
      <w:bookmarkEnd w:id="143"/>
    </w:p>
    <w:p w14:paraId="40E431C6" w14:textId="77777777" w:rsidR="00157F17" w:rsidRPr="00840E13" w:rsidRDefault="00157F17" w:rsidP="00157F17">
      <w:pPr>
        <w:pStyle w:val="Paragraphedeliste"/>
        <w:keepNext/>
        <w:spacing w:after="0" w:line="240" w:lineRule="auto"/>
        <w:ind w:left="0"/>
        <w:jc w:val="both"/>
        <w:rPr>
          <w:rFonts w:ascii="Times New Roman" w:hAnsi="Times New Roman" w:cs="Times New Roman"/>
          <w:b/>
          <w:sz w:val="20"/>
          <w:szCs w:val="44"/>
        </w:rPr>
      </w:pPr>
    </w:p>
    <w:p w14:paraId="0D5650D3" w14:textId="77777777" w:rsidR="00157F17" w:rsidRPr="00840E13" w:rsidRDefault="00157F17" w:rsidP="000738D3">
      <w:pPr>
        <w:pStyle w:val="Titre3"/>
        <w:numPr>
          <w:ilvl w:val="0"/>
          <w:numId w:val="12"/>
        </w:numPr>
        <w:ind w:left="993"/>
        <w:rPr>
          <w:rFonts w:ascii="Times New Roman" w:hAnsi="Times New Roman" w:cs="Times New Roman"/>
          <w:sz w:val="24"/>
          <w:szCs w:val="24"/>
        </w:rPr>
      </w:pPr>
      <w:bookmarkStart w:id="144" w:name="_Toc516047994"/>
      <w:bookmarkStart w:id="145" w:name="_Toc518468082"/>
      <w:r w:rsidRPr="00840E13">
        <w:rPr>
          <w:rFonts w:ascii="Times New Roman" w:hAnsi="Times New Roman" w:cs="Times New Roman"/>
          <w:sz w:val="24"/>
          <w:szCs w:val="24"/>
        </w:rPr>
        <w:t>Secteur pétrolier</w:t>
      </w:r>
      <w:bookmarkEnd w:id="144"/>
      <w:bookmarkEnd w:id="145"/>
    </w:p>
    <w:p w14:paraId="4367649A" w14:textId="6E215C44" w:rsidR="00157F17" w:rsidRDefault="00157F17"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De l’analyse des documents reçus du</w:t>
      </w:r>
      <w:r w:rsidRPr="00840E13">
        <w:rPr>
          <w:rFonts w:ascii="Times New Roman" w:hAnsi="Times New Roman" w:cs="Times New Roman"/>
          <w:sz w:val="24"/>
          <w:szCs w:val="24"/>
        </w:rPr>
        <w:t xml:space="preserve"> Secrétariat Gé</w:t>
      </w:r>
      <w:r>
        <w:rPr>
          <w:rFonts w:ascii="Times New Roman" w:hAnsi="Times New Roman" w:cs="Times New Roman"/>
          <w:sz w:val="24"/>
          <w:szCs w:val="24"/>
        </w:rPr>
        <w:t xml:space="preserve">néral aux Hydrocarbures (SGH) </w:t>
      </w:r>
      <w:r w:rsidR="007C5C78">
        <w:rPr>
          <w:rFonts w:ascii="Times New Roman" w:hAnsi="Times New Roman" w:cs="Times New Roman"/>
          <w:sz w:val="24"/>
          <w:szCs w:val="24"/>
        </w:rPr>
        <w:t xml:space="preserve"> et </w:t>
      </w:r>
      <w:r>
        <w:rPr>
          <w:rFonts w:ascii="Times New Roman" w:hAnsi="Times New Roman" w:cs="Times New Roman"/>
          <w:sz w:val="24"/>
          <w:szCs w:val="24"/>
        </w:rPr>
        <w:t xml:space="preserve"> de  </w:t>
      </w:r>
      <w:r w:rsidRPr="0059754E">
        <w:rPr>
          <w:rFonts w:ascii="Times New Roman" w:hAnsi="Times New Roman" w:cs="Times New Roman"/>
          <w:sz w:val="24"/>
          <w:szCs w:val="24"/>
        </w:rPr>
        <w:t>la Société Nationale des Hydrocarbures (SONAHYDROC SA)</w:t>
      </w:r>
      <w:r>
        <w:rPr>
          <w:rFonts w:ascii="Times New Roman" w:hAnsi="Times New Roman" w:cs="Times New Roman"/>
          <w:sz w:val="24"/>
          <w:szCs w:val="24"/>
        </w:rPr>
        <w:t>,</w:t>
      </w:r>
      <w:r w:rsidRPr="00840E13">
        <w:rPr>
          <w:rFonts w:ascii="Times New Roman" w:hAnsi="Times New Roman" w:cs="Times New Roman"/>
          <w:sz w:val="24"/>
          <w:szCs w:val="24"/>
        </w:rPr>
        <w:t xml:space="preserve"> il apparait qu’aucune activité de prospection </w:t>
      </w:r>
      <w:r w:rsidRPr="0059754E">
        <w:rPr>
          <w:rFonts w:ascii="Times New Roman" w:hAnsi="Times New Roman" w:cs="Times New Roman"/>
          <w:sz w:val="24"/>
          <w:szCs w:val="24"/>
        </w:rPr>
        <w:t>significative n’a été menée durant la période, ho</w:t>
      </w:r>
      <w:r>
        <w:rPr>
          <w:rFonts w:ascii="Times New Roman" w:hAnsi="Times New Roman" w:cs="Times New Roman"/>
          <w:sz w:val="24"/>
          <w:szCs w:val="24"/>
        </w:rPr>
        <w:t xml:space="preserve">rmis celle réalisée par </w:t>
      </w:r>
      <w:r w:rsidRPr="0059754E">
        <w:rPr>
          <w:rFonts w:ascii="Times New Roman" w:hAnsi="Times New Roman" w:cs="Times New Roman"/>
          <w:sz w:val="24"/>
          <w:szCs w:val="24"/>
        </w:rPr>
        <w:t>SONAHYDROC</w:t>
      </w:r>
      <w:r>
        <w:rPr>
          <w:rFonts w:ascii="Times New Roman" w:hAnsi="Times New Roman" w:cs="Times New Roman"/>
          <w:sz w:val="24"/>
          <w:szCs w:val="24"/>
        </w:rPr>
        <w:t xml:space="preserve"> SA</w:t>
      </w:r>
      <w:r w:rsidRPr="0059754E">
        <w:rPr>
          <w:rFonts w:ascii="Times New Roman" w:hAnsi="Times New Roman" w:cs="Times New Roman"/>
          <w:sz w:val="24"/>
          <w:szCs w:val="24"/>
        </w:rPr>
        <w:t xml:space="preserve"> pour un montant de 990K</w:t>
      </w:r>
      <w:r>
        <w:rPr>
          <w:rFonts w:ascii="Times New Roman" w:hAnsi="Times New Roman" w:cs="Times New Roman"/>
          <w:sz w:val="24"/>
          <w:szCs w:val="24"/>
        </w:rPr>
        <w:t xml:space="preserve"> </w:t>
      </w:r>
      <w:r w:rsidRPr="0059754E">
        <w:rPr>
          <w:rFonts w:ascii="Times New Roman" w:hAnsi="Times New Roman" w:cs="Times New Roman"/>
          <w:sz w:val="24"/>
          <w:szCs w:val="24"/>
        </w:rPr>
        <w:t>USD au titre d’une étude de revue des données techniques des rendus des blocs Yema et Nganzi où elle est associée avec SURESTREAM et SOGEMIP. Cette étude n’a pas été étendue au bloc Lotshi où elle est associée avec ENERGULF. Le résultat de l’étude a été récupéré par le Ministère de tutelle en vertu de l’article 30 al.2 du Code d’hydroc</w:t>
      </w:r>
      <w:r>
        <w:rPr>
          <w:rFonts w:ascii="Times New Roman" w:hAnsi="Times New Roman" w:cs="Times New Roman"/>
          <w:sz w:val="24"/>
          <w:szCs w:val="24"/>
        </w:rPr>
        <w:t xml:space="preserve">arbures. La SONAHYDROC a considéré </w:t>
      </w:r>
      <w:r w:rsidRPr="0059754E">
        <w:rPr>
          <w:rFonts w:ascii="Times New Roman" w:hAnsi="Times New Roman" w:cs="Times New Roman"/>
          <w:sz w:val="24"/>
          <w:szCs w:val="24"/>
        </w:rPr>
        <w:t xml:space="preserve"> ce montant</w:t>
      </w:r>
      <w:r>
        <w:rPr>
          <w:rFonts w:ascii="Times New Roman" w:hAnsi="Times New Roman" w:cs="Times New Roman"/>
          <w:sz w:val="24"/>
          <w:szCs w:val="24"/>
        </w:rPr>
        <w:t xml:space="preserve"> comme une dépense quasi fiscale.  </w:t>
      </w:r>
    </w:p>
    <w:p w14:paraId="708B3964" w14:textId="6CC7BD0E" w:rsidR="00157F17" w:rsidRPr="0059754E" w:rsidRDefault="007C5C78"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A l’analyse de cette  considération fondée sur</w:t>
      </w:r>
      <w:r w:rsidR="00157F17">
        <w:rPr>
          <w:rFonts w:ascii="Times New Roman" w:hAnsi="Times New Roman" w:cs="Times New Roman"/>
          <w:sz w:val="24"/>
          <w:szCs w:val="24"/>
        </w:rPr>
        <w:t xml:space="preserve"> l’exigence 6.2,  cette dépense n’entre pas dans la catégorie de dépenses quasi fiscales mais devrait être considérée comme une dépense d’investissement effectuée pour compte de l’Etat propriétaire. </w:t>
      </w:r>
    </w:p>
    <w:p w14:paraId="28259C2D" w14:textId="77777777" w:rsidR="00157F17" w:rsidRPr="00840E13" w:rsidRDefault="00157F17" w:rsidP="00D6058E">
      <w:pPr>
        <w:pStyle w:val="Paragraphedeliste"/>
        <w:spacing w:before="240"/>
        <w:ind w:left="709"/>
        <w:jc w:val="both"/>
        <w:rPr>
          <w:rFonts w:ascii="Times New Roman" w:hAnsi="Times New Roman" w:cs="Times New Roman"/>
          <w:sz w:val="16"/>
          <w:szCs w:val="16"/>
        </w:rPr>
      </w:pPr>
    </w:p>
    <w:p w14:paraId="45E54516" w14:textId="77777777" w:rsidR="00157F17" w:rsidRPr="00840E13" w:rsidRDefault="00157F17" w:rsidP="00D6058E">
      <w:pPr>
        <w:pStyle w:val="Paragraphedeliste"/>
        <w:spacing w:before="240"/>
        <w:ind w:left="709"/>
        <w:jc w:val="both"/>
        <w:rPr>
          <w:rFonts w:ascii="Times New Roman" w:hAnsi="Times New Roman" w:cs="Times New Roman"/>
          <w:sz w:val="24"/>
          <w:szCs w:val="24"/>
        </w:rPr>
      </w:pPr>
      <w:r w:rsidRPr="00840E13">
        <w:rPr>
          <w:rFonts w:ascii="Times New Roman" w:hAnsi="Times New Roman" w:cs="Times New Roman"/>
          <w:sz w:val="24"/>
          <w:szCs w:val="24"/>
        </w:rPr>
        <w:t>Par ailleurs, le Rapport annuel</w:t>
      </w:r>
      <w:r w:rsidRPr="00840E13">
        <w:rPr>
          <w:rFonts w:ascii="Times New Roman" w:hAnsi="Times New Roman" w:cs="Times New Roman"/>
          <w:sz w:val="24"/>
          <w:szCs w:val="24"/>
          <w:vertAlign w:val="superscript"/>
        </w:rPr>
        <w:t>1</w:t>
      </w:r>
      <w:r w:rsidRPr="00840E13">
        <w:rPr>
          <w:rFonts w:ascii="Times New Roman" w:hAnsi="Times New Roman" w:cs="Times New Roman"/>
          <w:sz w:val="24"/>
          <w:szCs w:val="24"/>
        </w:rPr>
        <w:t xml:space="preserve"> 2016 du SGH transmis au Secrétariat Technique de l’ITIE, note qu’à ce jour, seul le bassin côtier demeure depuis plus de quatre décennies le producteur du pétrole brut congolais. Les deux autres bassins sédimentaires (le bassin de la Branche Ouest du Rift Est-Africain ou les bassins de grabens albertin et Tanganyika, et le bassin de la Cuvette Centrale) sont ouverts à l’exploration et nécessitent une prospection profonde pour la meilleure connaissance géologique et environnementale.</w:t>
      </w:r>
    </w:p>
    <w:p w14:paraId="07983590" w14:textId="1F66C080" w:rsidR="00157F17" w:rsidRPr="00840E13" w:rsidRDefault="00157F17" w:rsidP="00D6058E">
      <w:pPr>
        <w:pStyle w:val="Paragraphedeliste"/>
        <w:ind w:left="709"/>
        <w:jc w:val="both"/>
        <w:rPr>
          <w:rFonts w:ascii="Times New Roman" w:hAnsi="Times New Roman" w:cs="Times New Roman"/>
          <w:sz w:val="24"/>
          <w:szCs w:val="24"/>
        </w:rPr>
      </w:pPr>
      <w:r>
        <w:rPr>
          <w:rFonts w:ascii="Times New Roman" w:hAnsi="Times New Roman" w:cs="Times New Roman"/>
          <w:sz w:val="24"/>
          <w:szCs w:val="24"/>
        </w:rPr>
        <w:t>Enfin,</w:t>
      </w:r>
      <w:r w:rsidRPr="00840E13">
        <w:rPr>
          <w:rFonts w:ascii="Times New Roman" w:hAnsi="Times New Roman" w:cs="Times New Roman"/>
          <w:sz w:val="24"/>
          <w:szCs w:val="24"/>
        </w:rPr>
        <w:t xml:space="preserve"> </w:t>
      </w:r>
      <w:r w:rsidR="007C5C78">
        <w:rPr>
          <w:rFonts w:ascii="Times New Roman" w:hAnsi="Times New Roman" w:cs="Times New Roman"/>
          <w:sz w:val="24"/>
          <w:szCs w:val="24"/>
        </w:rPr>
        <w:t xml:space="preserve">à titre informatif, </w:t>
      </w:r>
      <w:r w:rsidRPr="00840E13">
        <w:rPr>
          <w:rFonts w:ascii="Times New Roman" w:hAnsi="Times New Roman" w:cs="Times New Roman"/>
          <w:sz w:val="24"/>
          <w:szCs w:val="24"/>
        </w:rPr>
        <w:t>les entreprises ARIANA OIL and GAS et LEDYA OIL and GAS (LEREXCOM) ont obtenu des fiches d’accès à la base de données leur permettant de mener des recherches sur les rendus de Yema et N</w:t>
      </w:r>
      <w:r w:rsidR="007C5C78">
        <w:rPr>
          <w:rFonts w:ascii="Times New Roman" w:hAnsi="Times New Roman" w:cs="Times New Roman"/>
          <w:sz w:val="24"/>
          <w:szCs w:val="24"/>
        </w:rPr>
        <w:t>ganzi. Si ces études s’avèrent</w:t>
      </w:r>
      <w:r w:rsidRPr="00840E13">
        <w:rPr>
          <w:rFonts w:ascii="Times New Roman" w:hAnsi="Times New Roman" w:cs="Times New Roman"/>
          <w:sz w:val="24"/>
          <w:szCs w:val="24"/>
        </w:rPr>
        <w:t xml:space="preserve"> concluantes, elles entameront des négociations en vue de la signature de Contrat de partage de production (CPP).</w:t>
      </w:r>
    </w:p>
    <w:p w14:paraId="754B7D3F" w14:textId="77777777" w:rsidR="00157F17" w:rsidRPr="00840E13" w:rsidRDefault="00157F17" w:rsidP="00157F17">
      <w:pPr>
        <w:pStyle w:val="Paragraphedeliste"/>
        <w:ind w:left="0"/>
        <w:jc w:val="both"/>
        <w:rPr>
          <w:rFonts w:ascii="Times New Roman" w:hAnsi="Times New Roman" w:cs="Times New Roman"/>
          <w:sz w:val="24"/>
          <w:szCs w:val="24"/>
        </w:rPr>
      </w:pPr>
    </w:p>
    <w:p w14:paraId="6C10D2F8" w14:textId="77777777" w:rsidR="00157F17" w:rsidRPr="00840E13" w:rsidRDefault="00157F17" w:rsidP="000738D3">
      <w:pPr>
        <w:pStyle w:val="Titre3"/>
        <w:numPr>
          <w:ilvl w:val="0"/>
          <w:numId w:val="12"/>
        </w:numPr>
        <w:ind w:left="993"/>
        <w:rPr>
          <w:rFonts w:ascii="Times New Roman" w:hAnsi="Times New Roman" w:cs="Times New Roman"/>
          <w:sz w:val="24"/>
          <w:szCs w:val="24"/>
        </w:rPr>
      </w:pPr>
      <w:bookmarkStart w:id="146" w:name="_Toc516047995"/>
      <w:bookmarkStart w:id="147" w:name="_Toc518468083"/>
      <w:r w:rsidRPr="00840E13">
        <w:rPr>
          <w:rFonts w:ascii="Times New Roman" w:hAnsi="Times New Roman" w:cs="Times New Roman"/>
          <w:sz w:val="24"/>
          <w:szCs w:val="24"/>
        </w:rPr>
        <w:t>Secteur Minier</w:t>
      </w:r>
      <w:bookmarkEnd w:id="146"/>
      <w:bookmarkEnd w:id="147"/>
    </w:p>
    <w:p w14:paraId="5C7A6250" w14:textId="77777777" w:rsidR="00157F17" w:rsidRDefault="00157F17" w:rsidP="00D6058E">
      <w:pPr>
        <w:autoSpaceDE w:val="0"/>
        <w:autoSpaceDN w:val="0"/>
        <w:adjustRightInd w:val="0"/>
        <w:spacing w:line="276" w:lineRule="auto"/>
        <w:ind w:left="709"/>
        <w:jc w:val="both"/>
        <w:rPr>
          <w:rFonts w:ascii="Times New Roman" w:hAnsi="Times New Roman"/>
          <w:sz w:val="24"/>
          <w:szCs w:val="24"/>
        </w:rPr>
      </w:pPr>
      <w:r>
        <w:rPr>
          <w:rFonts w:ascii="Times New Roman" w:hAnsi="Times New Roman"/>
          <w:sz w:val="24"/>
          <w:szCs w:val="24"/>
        </w:rPr>
        <w:t>L</w:t>
      </w:r>
      <w:r w:rsidRPr="00840E13">
        <w:rPr>
          <w:rFonts w:ascii="Times New Roman" w:hAnsi="Times New Roman"/>
          <w:sz w:val="24"/>
          <w:szCs w:val="24"/>
        </w:rPr>
        <w:t>a Loi</w:t>
      </w:r>
      <w:r>
        <w:rPr>
          <w:rFonts w:ascii="Times New Roman" w:hAnsi="Times New Roman"/>
          <w:sz w:val="24"/>
          <w:szCs w:val="24"/>
        </w:rPr>
        <w:t xml:space="preserve"> n°</w:t>
      </w:r>
      <w:r w:rsidRPr="00840E13">
        <w:rPr>
          <w:rFonts w:ascii="Times New Roman" w:hAnsi="Times New Roman"/>
          <w:sz w:val="24"/>
          <w:szCs w:val="24"/>
        </w:rPr>
        <w:t>18/001 du 9 mars 2018 modifiant et complétant la Loi 007/002 du 11 juillet 2002 portant Code Minier a supprimé l’activité en ce qui concerne les opérateurs, mais a prévu la création d’un organisme spécialisé de recherches qui peut à tout moment procéder aux travaux de prospection et de recherches dans les zones d’exploitation artisanale</w:t>
      </w:r>
      <w:r w:rsidRPr="00840E13">
        <w:rPr>
          <w:rFonts w:ascii="Times New Roman" w:eastAsiaTheme="minorHAnsi" w:hAnsi="Times New Roman"/>
          <w:i/>
          <w:iCs/>
          <w:color w:val="000000"/>
          <w:sz w:val="24"/>
          <w:szCs w:val="24"/>
        </w:rPr>
        <w:t xml:space="preserve">.  </w:t>
      </w:r>
      <w:r w:rsidRPr="00840E13">
        <w:rPr>
          <w:rFonts w:ascii="Times New Roman" w:hAnsi="Times New Roman"/>
          <w:sz w:val="24"/>
          <w:szCs w:val="24"/>
        </w:rPr>
        <w:t>De son coté</w:t>
      </w:r>
      <w:r w:rsidRPr="00840E13">
        <w:rPr>
          <w:rFonts w:ascii="Times New Roman" w:eastAsiaTheme="minorHAnsi" w:hAnsi="Times New Roman"/>
          <w:iCs/>
          <w:color w:val="000000"/>
          <w:sz w:val="24"/>
          <w:szCs w:val="24"/>
        </w:rPr>
        <w:t xml:space="preserve">, </w:t>
      </w:r>
      <w:r w:rsidRPr="00840E13">
        <w:rPr>
          <w:rFonts w:ascii="Times New Roman" w:hAnsi="Times New Roman"/>
          <w:sz w:val="24"/>
          <w:szCs w:val="24"/>
        </w:rPr>
        <w:t xml:space="preserve">CAMI a indiqué  que </w:t>
      </w:r>
      <w:r w:rsidRPr="00840E13">
        <w:rPr>
          <w:rFonts w:ascii="Times New Roman" w:hAnsi="Times New Roman"/>
          <w:color w:val="333333"/>
          <w:sz w:val="24"/>
          <w:szCs w:val="24"/>
          <w:shd w:val="clear" w:color="auto" w:fill="FFFFFF"/>
        </w:rPr>
        <w:t xml:space="preserve"> </w:t>
      </w:r>
      <w:r w:rsidRPr="00840E13">
        <w:rPr>
          <w:rFonts w:ascii="Times New Roman" w:hAnsi="Times New Roman"/>
          <w:sz w:val="24"/>
          <w:szCs w:val="24"/>
        </w:rPr>
        <w:t>la prospection était radiée de ses actions depuis plus de 6 ans étant donné que tous les territoires de la RDC sont actuellement occupés par des droits miniers et de carrières. De ce fait, il n’y avait plus de places libres pour mener cette activité, chaque titulaire effectuant la recherche dans son périmètre.</w:t>
      </w:r>
    </w:p>
    <w:p w14:paraId="5E1A7865" w14:textId="77777777" w:rsidR="00157F17" w:rsidRDefault="00157F17" w:rsidP="00D6058E">
      <w:pPr>
        <w:autoSpaceDE w:val="0"/>
        <w:autoSpaceDN w:val="0"/>
        <w:adjustRightInd w:val="0"/>
        <w:spacing w:line="276" w:lineRule="auto"/>
        <w:ind w:left="709"/>
        <w:jc w:val="both"/>
        <w:rPr>
          <w:rFonts w:ascii="Times New Roman" w:hAnsi="Times New Roman"/>
          <w:sz w:val="24"/>
          <w:szCs w:val="24"/>
        </w:rPr>
      </w:pPr>
      <w:r>
        <w:rPr>
          <w:rFonts w:ascii="Times New Roman" w:hAnsi="Times New Roman"/>
          <w:sz w:val="24"/>
          <w:szCs w:val="24"/>
        </w:rPr>
        <w:lastRenderedPageBreak/>
        <w:t>Au regard de cette affirmation, il convient de s’interroger sur le sort des attestations de prospection valides au moment de la promulgation de la Loi.</w:t>
      </w:r>
    </w:p>
    <w:p w14:paraId="388992A8" w14:textId="77777777" w:rsidR="00157F17" w:rsidRPr="00491881" w:rsidRDefault="00157F17" w:rsidP="00157F17">
      <w:pPr>
        <w:pStyle w:val="Commentaire"/>
        <w:ind w:left="720"/>
        <w:rPr>
          <w:rFonts w:ascii="Times New Roman" w:hAnsi="Times New Roman"/>
          <w:sz w:val="24"/>
          <w:szCs w:val="24"/>
        </w:rPr>
      </w:pPr>
      <w:r w:rsidRPr="00491881">
        <w:rPr>
          <w:rFonts w:ascii="Times New Roman" w:hAnsi="Times New Roman"/>
          <w:sz w:val="24"/>
          <w:szCs w:val="24"/>
        </w:rPr>
        <w:t xml:space="preserve">Le code 2002 prévoyait l’octroi de l’attestation de prospection au demandeur. Celle-ci ne conférait aucun droit, encore moins un titre minier ou de carrière. Dans ce cadre, les EPE et même les entreprises privées  pouvaient elles-mêmes effectuer ces travaux ou les sous-traiter. </w:t>
      </w:r>
    </w:p>
    <w:p w14:paraId="10CC1A50" w14:textId="77777777" w:rsidR="00157F17" w:rsidRPr="00491881" w:rsidRDefault="00157F17" w:rsidP="00157F17">
      <w:pPr>
        <w:pStyle w:val="Commentaire"/>
        <w:ind w:left="720"/>
        <w:rPr>
          <w:rFonts w:ascii="Times New Roman" w:hAnsi="Times New Roman"/>
          <w:sz w:val="24"/>
          <w:szCs w:val="24"/>
        </w:rPr>
      </w:pPr>
      <w:r w:rsidRPr="00491881">
        <w:rPr>
          <w:rFonts w:ascii="Times New Roman" w:hAnsi="Times New Roman"/>
          <w:sz w:val="24"/>
          <w:szCs w:val="24"/>
        </w:rPr>
        <w:t xml:space="preserve">Avec le code tel que modifié et complété, les entreprises y compris les EPE devront tirer les conséquences de la suppression de l’activité de prospection.    </w:t>
      </w:r>
    </w:p>
    <w:p w14:paraId="011A3C65" w14:textId="77777777" w:rsidR="00157F17" w:rsidRPr="00491881" w:rsidRDefault="00157F17" w:rsidP="00157F17">
      <w:pPr>
        <w:autoSpaceDE w:val="0"/>
        <w:autoSpaceDN w:val="0"/>
        <w:adjustRightInd w:val="0"/>
        <w:spacing w:line="240" w:lineRule="auto"/>
        <w:ind w:left="709"/>
        <w:jc w:val="both"/>
        <w:rPr>
          <w:rFonts w:ascii="Times New Roman" w:hAnsi="Times New Roman"/>
          <w:sz w:val="24"/>
          <w:szCs w:val="24"/>
        </w:rPr>
      </w:pPr>
      <w:r w:rsidRPr="00491881">
        <w:rPr>
          <w:rFonts w:ascii="Times New Roman" w:hAnsi="Times New Roman"/>
          <w:sz w:val="24"/>
          <w:szCs w:val="24"/>
        </w:rPr>
        <w:t xml:space="preserve">  De toute évidence, juridiquement, toute attestation de prospection devient caduque avec l’adoption du code, tel que modifié et complété, d’autant plus que l’article 328 ne parle que des droits miniers et ou de carrière en instance à l’entrée en vigueur</w:t>
      </w:r>
      <w:r>
        <w:t>.</w:t>
      </w:r>
    </w:p>
    <w:p w14:paraId="668B8D2F" w14:textId="105E064F" w:rsidR="00157F17" w:rsidRDefault="00157F17" w:rsidP="00157F17">
      <w:pPr>
        <w:pStyle w:val="Paragraphedeliste"/>
        <w:spacing w:before="240"/>
        <w:ind w:left="709"/>
        <w:jc w:val="both"/>
        <w:rPr>
          <w:rFonts w:ascii="Times New Roman" w:hAnsi="Times New Roman" w:cs="Times New Roman"/>
          <w:sz w:val="24"/>
          <w:szCs w:val="24"/>
        </w:rPr>
      </w:pPr>
      <w:r>
        <w:rPr>
          <w:rFonts w:ascii="Times New Roman" w:hAnsi="Times New Roman" w:cs="Times New Roman"/>
          <w:sz w:val="24"/>
          <w:szCs w:val="24"/>
        </w:rPr>
        <w:t>De la lecture des Statuts</w:t>
      </w:r>
      <w:r w:rsidR="007C4E20">
        <w:rPr>
          <w:rFonts w:ascii="Times New Roman" w:hAnsi="Times New Roman" w:cs="Times New Roman"/>
          <w:sz w:val="24"/>
          <w:szCs w:val="24"/>
        </w:rPr>
        <w:t xml:space="preserve"> des Entreprises du Portefeuille de l’Etat (EPE),</w:t>
      </w:r>
      <w:r>
        <w:rPr>
          <w:rFonts w:ascii="Times New Roman" w:hAnsi="Times New Roman" w:cs="Times New Roman"/>
          <w:sz w:val="24"/>
          <w:szCs w:val="24"/>
        </w:rPr>
        <w:t xml:space="preserve"> </w:t>
      </w:r>
      <w:r w:rsidRPr="00840E13">
        <w:rPr>
          <w:rFonts w:ascii="Times New Roman" w:hAnsi="Times New Roman" w:cs="Times New Roman"/>
          <w:sz w:val="24"/>
          <w:szCs w:val="24"/>
        </w:rPr>
        <w:t xml:space="preserve">il </w:t>
      </w:r>
      <w:r>
        <w:rPr>
          <w:rFonts w:ascii="Times New Roman" w:hAnsi="Times New Roman" w:cs="Times New Roman"/>
          <w:sz w:val="24"/>
          <w:szCs w:val="24"/>
        </w:rPr>
        <w:t xml:space="preserve"> apparait  que la prospection est une de </w:t>
      </w:r>
      <w:r w:rsidRPr="00840E13">
        <w:rPr>
          <w:rFonts w:ascii="Times New Roman" w:hAnsi="Times New Roman" w:cs="Times New Roman"/>
          <w:sz w:val="24"/>
          <w:szCs w:val="24"/>
        </w:rPr>
        <w:t xml:space="preserve"> missions de la plupart engagées </w:t>
      </w:r>
      <w:r w:rsidR="007C4E20">
        <w:rPr>
          <w:rFonts w:ascii="Times New Roman" w:hAnsi="Times New Roman" w:cs="Times New Roman"/>
          <w:sz w:val="24"/>
          <w:szCs w:val="24"/>
        </w:rPr>
        <w:t xml:space="preserve"> de ces entreprises</w:t>
      </w:r>
      <w:r w:rsidRPr="00840E13">
        <w:rPr>
          <w:rFonts w:ascii="Times New Roman" w:hAnsi="Times New Roman" w:cs="Times New Roman"/>
          <w:sz w:val="24"/>
          <w:szCs w:val="24"/>
        </w:rPr>
        <w:t>.</w:t>
      </w:r>
    </w:p>
    <w:p w14:paraId="12B44182" w14:textId="77777777" w:rsidR="00157F17" w:rsidRPr="00840E13" w:rsidRDefault="00157F17" w:rsidP="00157F17">
      <w:pPr>
        <w:pStyle w:val="Paragraphedeliste"/>
        <w:spacing w:before="240"/>
        <w:ind w:left="709"/>
        <w:jc w:val="both"/>
        <w:rPr>
          <w:rFonts w:ascii="Times New Roman" w:hAnsi="Times New Roman" w:cs="Times New Roman"/>
          <w:sz w:val="24"/>
          <w:szCs w:val="24"/>
        </w:rPr>
      </w:pPr>
      <w:r w:rsidRPr="00840E13">
        <w:rPr>
          <w:rFonts w:ascii="Times New Roman" w:hAnsi="Times New Roman" w:cs="Times New Roman"/>
          <w:sz w:val="24"/>
          <w:szCs w:val="24"/>
        </w:rPr>
        <w:t xml:space="preserve"> </w:t>
      </w:r>
    </w:p>
    <w:p w14:paraId="2841D9B7" w14:textId="157EE6ED" w:rsidR="00157F17" w:rsidRPr="00840E13" w:rsidRDefault="00157F17" w:rsidP="00157F17">
      <w:pPr>
        <w:pStyle w:val="Paragraphedeliste"/>
        <w:spacing w:before="240"/>
        <w:ind w:left="709"/>
        <w:jc w:val="both"/>
        <w:rPr>
          <w:rFonts w:ascii="Times New Roman" w:hAnsi="Times New Roman" w:cs="Times New Roman"/>
          <w:sz w:val="24"/>
          <w:szCs w:val="24"/>
        </w:rPr>
      </w:pPr>
      <w:r>
        <w:rPr>
          <w:rFonts w:ascii="Times New Roman" w:hAnsi="Times New Roman" w:cs="Times New Roman"/>
          <w:sz w:val="24"/>
          <w:szCs w:val="24"/>
        </w:rPr>
        <w:t xml:space="preserve">C’est ainsi par exemple que </w:t>
      </w:r>
      <w:r w:rsidRPr="00840E13">
        <w:rPr>
          <w:rFonts w:ascii="Times New Roman" w:hAnsi="Times New Roman" w:cs="Times New Roman"/>
          <w:sz w:val="24"/>
          <w:szCs w:val="24"/>
        </w:rPr>
        <w:t xml:space="preserve"> de la GECAMINES</w:t>
      </w:r>
      <w:r w:rsidRPr="00840E13">
        <w:rPr>
          <w:rFonts w:ascii="Times New Roman" w:hAnsi="Times New Roman" w:cs="Times New Roman"/>
          <w:sz w:val="24"/>
          <w:szCs w:val="24"/>
          <w:vertAlign w:val="superscript"/>
        </w:rPr>
        <w:t>2</w:t>
      </w:r>
      <w:r w:rsidRPr="00840E13">
        <w:rPr>
          <w:rFonts w:ascii="Times New Roman" w:hAnsi="Times New Roman" w:cs="Times New Roman"/>
          <w:sz w:val="24"/>
          <w:szCs w:val="24"/>
        </w:rPr>
        <w:t xml:space="preserve"> </w:t>
      </w:r>
      <w:r>
        <w:rPr>
          <w:rFonts w:ascii="Times New Roman" w:hAnsi="Times New Roman" w:cs="Times New Roman"/>
          <w:sz w:val="24"/>
          <w:szCs w:val="24"/>
        </w:rPr>
        <w:t>renseigne</w:t>
      </w:r>
      <w:r w:rsidRPr="00840E13">
        <w:rPr>
          <w:rFonts w:ascii="Times New Roman" w:hAnsi="Times New Roman" w:cs="Times New Roman"/>
          <w:sz w:val="24"/>
          <w:szCs w:val="24"/>
        </w:rPr>
        <w:t xml:space="preserve"> qu’elle a mené</w:t>
      </w:r>
      <w:r>
        <w:rPr>
          <w:rFonts w:ascii="Times New Roman" w:hAnsi="Times New Roman" w:cs="Times New Roman"/>
          <w:sz w:val="24"/>
          <w:szCs w:val="24"/>
        </w:rPr>
        <w:t xml:space="preserve"> en 2016 </w:t>
      </w:r>
      <w:r w:rsidRPr="00840E13">
        <w:rPr>
          <w:rFonts w:ascii="Times New Roman" w:hAnsi="Times New Roman" w:cs="Times New Roman"/>
          <w:sz w:val="24"/>
          <w:szCs w:val="24"/>
        </w:rPr>
        <w:t xml:space="preserve"> la prospection dans le cadre du « projet de prospection GECAMINES/KCC à KINGAMYAMBO ». Cependant, </w:t>
      </w:r>
      <w:r>
        <w:rPr>
          <w:rFonts w:ascii="Times New Roman" w:hAnsi="Times New Roman" w:cs="Times New Roman"/>
          <w:sz w:val="24"/>
          <w:szCs w:val="24"/>
        </w:rPr>
        <w:t xml:space="preserve">nous n’avons pas reçu assez de détails </w:t>
      </w:r>
      <w:r w:rsidRPr="00840E13">
        <w:rPr>
          <w:rFonts w:ascii="Times New Roman" w:hAnsi="Times New Roman" w:cs="Times New Roman"/>
          <w:sz w:val="24"/>
          <w:szCs w:val="24"/>
        </w:rPr>
        <w:t xml:space="preserve"> pouvant nous permettre </w:t>
      </w:r>
      <w:r>
        <w:rPr>
          <w:rFonts w:ascii="Times New Roman" w:hAnsi="Times New Roman" w:cs="Times New Roman"/>
          <w:sz w:val="24"/>
          <w:szCs w:val="24"/>
        </w:rPr>
        <w:t xml:space="preserve"> de fonder la confirmation</w:t>
      </w:r>
      <w:r w:rsidRPr="00840E13">
        <w:rPr>
          <w:rFonts w:ascii="Times New Roman" w:hAnsi="Times New Roman" w:cs="Times New Roman"/>
          <w:sz w:val="24"/>
          <w:szCs w:val="24"/>
        </w:rPr>
        <w:t xml:space="preserve"> </w:t>
      </w:r>
      <w:r>
        <w:rPr>
          <w:rFonts w:ascii="Times New Roman" w:hAnsi="Times New Roman" w:cs="Times New Roman"/>
          <w:sz w:val="24"/>
          <w:szCs w:val="24"/>
        </w:rPr>
        <w:t xml:space="preserve"> l’exécution de ces  travaux.  </w:t>
      </w:r>
    </w:p>
    <w:p w14:paraId="014A11E2" w14:textId="6F0736AF" w:rsidR="00157F17" w:rsidRPr="00840E13" w:rsidRDefault="00157F17" w:rsidP="0054038F">
      <w:pPr>
        <w:pStyle w:val="Titre2"/>
        <w:rPr>
          <w:rFonts w:ascii="Times New Roman" w:hAnsi="Times New Roman" w:cs="Times New Roman"/>
          <w:sz w:val="24"/>
          <w:szCs w:val="24"/>
        </w:rPr>
      </w:pPr>
      <w:bookmarkStart w:id="148" w:name="_Toc516047996"/>
      <w:bookmarkStart w:id="149" w:name="_Toc518468084"/>
      <w:r>
        <w:rPr>
          <w:rFonts w:ascii="Times New Roman" w:hAnsi="Times New Roman" w:cs="Times New Roman"/>
          <w:sz w:val="24"/>
          <w:szCs w:val="24"/>
        </w:rPr>
        <w:t>V</w:t>
      </w:r>
      <w:r w:rsidR="0054038F">
        <w:rPr>
          <w:rFonts w:ascii="Times New Roman" w:hAnsi="Times New Roman" w:cs="Times New Roman"/>
          <w:sz w:val="24"/>
          <w:szCs w:val="24"/>
        </w:rPr>
        <w:t>I</w:t>
      </w:r>
      <w:r>
        <w:rPr>
          <w:rFonts w:ascii="Times New Roman" w:hAnsi="Times New Roman" w:cs="Times New Roman"/>
          <w:sz w:val="24"/>
          <w:szCs w:val="24"/>
        </w:rPr>
        <w:t xml:space="preserve">.2. </w:t>
      </w:r>
      <w:r w:rsidR="004920D7" w:rsidRPr="00840E13">
        <w:rPr>
          <w:rFonts w:ascii="Times New Roman" w:hAnsi="Times New Roman" w:cs="Times New Roman"/>
          <w:caps w:val="0"/>
          <w:sz w:val="24"/>
          <w:szCs w:val="24"/>
        </w:rPr>
        <w:t>Activité d’exploration</w:t>
      </w:r>
      <w:bookmarkEnd w:id="148"/>
      <w:bookmarkEnd w:id="149"/>
    </w:p>
    <w:p w14:paraId="119CBAC2" w14:textId="77777777" w:rsidR="00157F17" w:rsidRPr="00840E13" w:rsidRDefault="00157F17" w:rsidP="0054038F">
      <w:pPr>
        <w:pStyle w:val="Titre3"/>
        <w:numPr>
          <w:ilvl w:val="0"/>
          <w:numId w:val="13"/>
        </w:numPr>
        <w:ind w:left="993" w:hanging="283"/>
        <w:rPr>
          <w:rFonts w:ascii="Times New Roman" w:hAnsi="Times New Roman" w:cs="Times New Roman"/>
          <w:sz w:val="24"/>
          <w:szCs w:val="24"/>
        </w:rPr>
      </w:pPr>
      <w:bookmarkStart w:id="150" w:name="_Toc516047997"/>
      <w:bookmarkStart w:id="151" w:name="_Toc518468085"/>
      <w:r w:rsidRPr="00840E13">
        <w:rPr>
          <w:rFonts w:ascii="Times New Roman" w:hAnsi="Times New Roman" w:cs="Times New Roman"/>
          <w:sz w:val="24"/>
          <w:szCs w:val="24"/>
        </w:rPr>
        <w:t>Secteur pétrolier</w:t>
      </w:r>
      <w:bookmarkEnd w:id="150"/>
      <w:bookmarkEnd w:id="151"/>
    </w:p>
    <w:p w14:paraId="44B56C09" w14:textId="79574E76" w:rsidR="00157F17" w:rsidRPr="00840E13" w:rsidRDefault="007C4E20" w:rsidP="0054038F">
      <w:pPr>
        <w:ind w:left="709"/>
        <w:jc w:val="both"/>
        <w:rPr>
          <w:rFonts w:ascii="Times New Roman" w:hAnsi="Times New Roman"/>
          <w:sz w:val="24"/>
          <w:szCs w:val="24"/>
        </w:rPr>
      </w:pPr>
      <w:r>
        <w:rPr>
          <w:rFonts w:ascii="Times New Roman" w:hAnsi="Times New Roman"/>
          <w:sz w:val="24"/>
          <w:szCs w:val="24"/>
        </w:rPr>
        <w:t xml:space="preserve">Le </w:t>
      </w:r>
      <w:r w:rsidR="00157F17" w:rsidRPr="00840E13">
        <w:rPr>
          <w:rFonts w:ascii="Times New Roman" w:hAnsi="Times New Roman"/>
          <w:sz w:val="24"/>
          <w:szCs w:val="24"/>
        </w:rPr>
        <w:t xml:space="preserve">SGH </w:t>
      </w:r>
      <w:r>
        <w:rPr>
          <w:rFonts w:ascii="Times New Roman" w:hAnsi="Times New Roman"/>
          <w:sz w:val="24"/>
          <w:szCs w:val="24"/>
        </w:rPr>
        <w:t xml:space="preserve"> a transmis au Secrétariat Technique de l’ITIE (ST) un répertoire des titres qui a été </w:t>
      </w:r>
      <w:r w:rsidR="00157F17" w:rsidRPr="00840E13">
        <w:rPr>
          <w:rFonts w:ascii="Times New Roman" w:hAnsi="Times New Roman"/>
          <w:sz w:val="24"/>
          <w:szCs w:val="24"/>
        </w:rPr>
        <w:t>rapproché avec les déclarations des entreprises. Le résultat est contenu dans le tableau ci-dessous :</w:t>
      </w:r>
    </w:p>
    <w:tbl>
      <w:tblPr>
        <w:tblStyle w:val="TableauGrille1Clair1"/>
        <w:tblW w:w="4232" w:type="pct"/>
        <w:tblInd w:w="704" w:type="dxa"/>
        <w:tblLayout w:type="fixed"/>
        <w:tblLook w:val="04A0" w:firstRow="1" w:lastRow="0" w:firstColumn="1" w:lastColumn="0" w:noHBand="0" w:noVBand="1"/>
      </w:tblPr>
      <w:tblGrid>
        <w:gridCol w:w="2491"/>
        <w:gridCol w:w="1655"/>
        <w:gridCol w:w="1519"/>
        <w:gridCol w:w="1242"/>
        <w:gridCol w:w="1244"/>
      </w:tblGrid>
      <w:tr w:rsidR="00157F17" w:rsidRPr="00840E13" w14:paraId="2636D715" w14:textId="77777777" w:rsidTr="0054038F">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528" w:type="pct"/>
            <w:vAlign w:val="center"/>
            <w:hideMark/>
          </w:tcPr>
          <w:p w14:paraId="00A1D644" w14:textId="3D3FA38A" w:rsidR="00157F17" w:rsidRPr="00840E13" w:rsidRDefault="00157F17" w:rsidP="0054038F">
            <w:pPr>
              <w:ind w:left="-363" w:firstLine="363"/>
              <w:jc w:val="center"/>
              <w:rPr>
                <w:rFonts w:ascii="Times New Roman" w:eastAsia="Times New Roman" w:hAnsi="Times New Roman"/>
                <w:sz w:val="16"/>
                <w:szCs w:val="16"/>
                <w:lang w:eastAsia="fr-FR"/>
              </w:rPr>
            </w:pPr>
            <w:r w:rsidRPr="00840E13">
              <w:rPr>
                <w:rFonts w:ascii="Times New Roman" w:hAnsi="Times New Roman"/>
                <w:sz w:val="24"/>
                <w:szCs w:val="24"/>
              </w:rPr>
              <w:t xml:space="preserve"> </w:t>
            </w:r>
            <w:r w:rsidRPr="00840E13">
              <w:rPr>
                <w:rFonts w:ascii="Times New Roman" w:eastAsia="Times New Roman" w:hAnsi="Times New Roman"/>
                <w:sz w:val="16"/>
                <w:szCs w:val="16"/>
                <w:lang w:eastAsia="fr-FR"/>
              </w:rPr>
              <w:t>Association</w:t>
            </w:r>
          </w:p>
        </w:tc>
        <w:tc>
          <w:tcPr>
            <w:tcW w:w="1015" w:type="pct"/>
            <w:vAlign w:val="center"/>
            <w:hideMark/>
          </w:tcPr>
          <w:p w14:paraId="5BA597FD"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Opérateur</w:t>
            </w:r>
          </w:p>
        </w:tc>
        <w:tc>
          <w:tcPr>
            <w:tcW w:w="932" w:type="pct"/>
            <w:vAlign w:val="center"/>
            <w:hideMark/>
          </w:tcPr>
          <w:p w14:paraId="7AC4A1F8"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Bloc</w:t>
            </w:r>
          </w:p>
        </w:tc>
        <w:tc>
          <w:tcPr>
            <w:tcW w:w="762" w:type="pct"/>
            <w:vAlign w:val="center"/>
            <w:hideMark/>
          </w:tcPr>
          <w:p w14:paraId="6486A353"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Type de contrat</w:t>
            </w:r>
          </w:p>
        </w:tc>
        <w:tc>
          <w:tcPr>
            <w:tcW w:w="763" w:type="pct"/>
            <w:vAlign w:val="center"/>
            <w:hideMark/>
          </w:tcPr>
          <w:p w14:paraId="1C34874A" w14:textId="77777777" w:rsidR="00157F17" w:rsidRPr="00840E13" w:rsidRDefault="00157F17" w:rsidP="00D60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840E13">
              <w:rPr>
                <w:rFonts w:ascii="Times New Roman" w:eastAsia="Times New Roman" w:hAnsi="Times New Roman"/>
                <w:sz w:val="16"/>
                <w:szCs w:val="16"/>
                <w:lang w:eastAsia="fr-FR"/>
              </w:rPr>
              <w:t>Localisation</w:t>
            </w:r>
          </w:p>
        </w:tc>
      </w:tr>
      <w:tr w:rsidR="00157F17" w:rsidRPr="00840E13" w14:paraId="10B27B0F"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20E6191F"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SURESTREAM-SOGEMIP-SONAHYDROC</w:t>
            </w:r>
          </w:p>
        </w:tc>
        <w:tc>
          <w:tcPr>
            <w:tcW w:w="1015" w:type="pct"/>
            <w:noWrap/>
            <w:hideMark/>
          </w:tcPr>
          <w:p w14:paraId="365E819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SURESTREAM</w:t>
            </w:r>
          </w:p>
        </w:tc>
        <w:tc>
          <w:tcPr>
            <w:tcW w:w="932" w:type="pct"/>
            <w:hideMark/>
          </w:tcPr>
          <w:p w14:paraId="629E7B0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Yema Matamba Makanzi</w:t>
            </w:r>
          </w:p>
          <w:p w14:paraId="74E3DC4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p>
        </w:tc>
        <w:tc>
          <w:tcPr>
            <w:tcW w:w="762" w:type="pct"/>
            <w:noWrap/>
            <w:hideMark/>
          </w:tcPr>
          <w:p w14:paraId="64870E0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2C31E1D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7E3F00AA"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tcPr>
          <w:p w14:paraId="2A27A287"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SURESTREAM -SONAHYDROC</w:t>
            </w:r>
          </w:p>
        </w:tc>
        <w:tc>
          <w:tcPr>
            <w:tcW w:w="1015" w:type="pct"/>
            <w:noWrap/>
          </w:tcPr>
          <w:p w14:paraId="4D92D1B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SURESTREAM</w:t>
            </w:r>
          </w:p>
        </w:tc>
        <w:tc>
          <w:tcPr>
            <w:tcW w:w="932" w:type="pct"/>
          </w:tcPr>
          <w:p w14:paraId="1484F81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Ndunda</w:t>
            </w:r>
          </w:p>
        </w:tc>
        <w:tc>
          <w:tcPr>
            <w:tcW w:w="762" w:type="pct"/>
            <w:noWrap/>
          </w:tcPr>
          <w:p w14:paraId="4C2E0ED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tcPr>
          <w:p w14:paraId="1DFC972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00726384"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520969A0"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ENEGULF -SONAHYDROC</w:t>
            </w:r>
          </w:p>
        </w:tc>
        <w:tc>
          <w:tcPr>
            <w:tcW w:w="1015" w:type="pct"/>
            <w:noWrap/>
            <w:hideMark/>
          </w:tcPr>
          <w:p w14:paraId="4E26004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ENERGULF</w:t>
            </w:r>
          </w:p>
        </w:tc>
        <w:tc>
          <w:tcPr>
            <w:tcW w:w="932" w:type="pct"/>
            <w:noWrap/>
            <w:hideMark/>
          </w:tcPr>
          <w:p w14:paraId="22E6A0B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Lotshi</w:t>
            </w:r>
          </w:p>
        </w:tc>
        <w:tc>
          <w:tcPr>
            <w:tcW w:w="762" w:type="pct"/>
            <w:noWrap/>
            <w:hideMark/>
          </w:tcPr>
          <w:p w14:paraId="04B0EB1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1237C44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Kongo Central</w:t>
            </w:r>
          </w:p>
        </w:tc>
      </w:tr>
      <w:tr w:rsidR="00157F17" w:rsidRPr="00840E13" w14:paraId="41BB48A9"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3F607281"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TOTAL E&amp;P RDC</w:t>
            </w:r>
          </w:p>
        </w:tc>
        <w:tc>
          <w:tcPr>
            <w:tcW w:w="1015" w:type="pct"/>
            <w:noWrap/>
            <w:hideMark/>
          </w:tcPr>
          <w:p w14:paraId="7215978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TOTAL E&amp;P RDC</w:t>
            </w:r>
          </w:p>
        </w:tc>
        <w:tc>
          <w:tcPr>
            <w:tcW w:w="932" w:type="pct"/>
            <w:noWrap/>
            <w:hideMark/>
          </w:tcPr>
          <w:p w14:paraId="4162109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III</w:t>
            </w:r>
          </w:p>
        </w:tc>
        <w:tc>
          <w:tcPr>
            <w:tcW w:w="762" w:type="pct"/>
            <w:noWrap/>
            <w:hideMark/>
          </w:tcPr>
          <w:p w14:paraId="6A23843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6F94FD0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Ituri</w:t>
            </w:r>
          </w:p>
        </w:tc>
      </w:tr>
      <w:tr w:rsidR="00157F17" w:rsidRPr="00840E13" w14:paraId="5A3C9602" w14:textId="77777777" w:rsidTr="0054038F">
        <w:trPr>
          <w:trHeight w:val="372"/>
        </w:trPr>
        <w:tc>
          <w:tcPr>
            <w:cnfStyle w:val="001000000000" w:firstRow="0" w:lastRow="0" w:firstColumn="1" w:lastColumn="0" w:oddVBand="0" w:evenVBand="0" w:oddHBand="0" w:evenHBand="0" w:firstRowFirstColumn="0" w:firstRowLastColumn="0" w:lastRowFirstColumn="0" w:lastRowLastColumn="0"/>
            <w:tcW w:w="1528" w:type="pct"/>
            <w:noWrap/>
            <w:hideMark/>
          </w:tcPr>
          <w:p w14:paraId="48DF5CE0" w14:textId="77777777" w:rsidR="00157F17" w:rsidRPr="00840E13" w:rsidRDefault="00157F17" w:rsidP="00E4464E">
            <w:pPr>
              <w:rPr>
                <w:rFonts w:ascii="Times New Roman" w:eastAsia="Times New Roman" w:hAnsi="Times New Roman"/>
                <w:b w:val="0"/>
                <w:color w:val="000000"/>
                <w:sz w:val="16"/>
                <w:szCs w:val="16"/>
                <w:lang w:eastAsia="fr-FR"/>
              </w:rPr>
            </w:pPr>
            <w:r w:rsidRPr="00840E13">
              <w:rPr>
                <w:rFonts w:ascii="Times New Roman" w:eastAsia="Times New Roman" w:hAnsi="Times New Roman"/>
                <w:b w:val="0"/>
                <w:color w:val="000000"/>
                <w:sz w:val="16"/>
                <w:szCs w:val="16"/>
                <w:lang w:eastAsia="fr-FR"/>
              </w:rPr>
              <w:t>FOXWELP&amp;CAPRIKAT</w:t>
            </w:r>
          </w:p>
        </w:tc>
        <w:tc>
          <w:tcPr>
            <w:tcW w:w="1015" w:type="pct"/>
            <w:noWrap/>
            <w:hideMark/>
          </w:tcPr>
          <w:p w14:paraId="3BFAE347"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OIL OF DRC</w:t>
            </w:r>
          </w:p>
        </w:tc>
        <w:tc>
          <w:tcPr>
            <w:tcW w:w="932" w:type="pct"/>
            <w:noWrap/>
            <w:hideMark/>
          </w:tcPr>
          <w:p w14:paraId="22EDF5D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 &amp;II</w:t>
            </w:r>
          </w:p>
        </w:tc>
        <w:tc>
          <w:tcPr>
            <w:tcW w:w="762" w:type="pct"/>
            <w:noWrap/>
            <w:hideMark/>
          </w:tcPr>
          <w:p w14:paraId="1DFCBA7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CPP</w:t>
            </w:r>
          </w:p>
        </w:tc>
        <w:tc>
          <w:tcPr>
            <w:tcW w:w="763" w:type="pct"/>
            <w:noWrap/>
            <w:hideMark/>
          </w:tcPr>
          <w:p w14:paraId="0389D85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840E13">
              <w:rPr>
                <w:rFonts w:ascii="Times New Roman" w:eastAsia="Times New Roman" w:hAnsi="Times New Roman"/>
                <w:color w:val="000000"/>
                <w:sz w:val="16"/>
                <w:szCs w:val="16"/>
                <w:lang w:eastAsia="fr-FR"/>
              </w:rPr>
              <w:t>Ituri</w:t>
            </w:r>
          </w:p>
        </w:tc>
      </w:tr>
    </w:tbl>
    <w:p w14:paraId="6153AADC" w14:textId="77777777" w:rsidR="00157F17" w:rsidRPr="00840E13" w:rsidRDefault="00157F17" w:rsidP="00157F17">
      <w:pPr>
        <w:jc w:val="both"/>
        <w:rPr>
          <w:rFonts w:ascii="Times New Roman" w:hAnsi="Times New Roman"/>
          <w:sz w:val="28"/>
          <w:szCs w:val="28"/>
        </w:rPr>
      </w:pPr>
    </w:p>
    <w:p w14:paraId="61CE957C" w14:textId="7777777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t xml:space="preserve">L’entreprise Engineering Procurement and Project Management (EPPM)  a été sélectionnée, après une procédure d’appel d’offres, pour exploiter le gaz méthane dans le lac Kivu qui sera utilisé pour la production de l’électricité  à distribuer par la Société Nationale de l’Electricité. </w:t>
      </w:r>
    </w:p>
    <w:p w14:paraId="4D498E89" w14:textId="5859442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t xml:space="preserve">Par ailleurs, le CPP de COMICO a été approuvé par ordonnance présidentielle.  Les contrats respectifs ont été communiqués au Secrétariat Technique et sont disponibles sur le </w:t>
      </w:r>
      <w:r w:rsidR="00400A0D">
        <w:rPr>
          <w:rFonts w:ascii="Times New Roman" w:hAnsi="Times New Roman"/>
          <w:sz w:val="24"/>
          <w:szCs w:val="24"/>
        </w:rPr>
        <w:t>de l’ITIE-RDC.</w:t>
      </w:r>
      <w:r w:rsidRPr="00840E13">
        <w:rPr>
          <w:rFonts w:ascii="Times New Roman" w:hAnsi="Times New Roman"/>
          <w:sz w:val="24"/>
          <w:szCs w:val="24"/>
        </w:rPr>
        <w:t xml:space="preserve"> </w:t>
      </w:r>
    </w:p>
    <w:p w14:paraId="19EE0B78" w14:textId="77777777" w:rsidR="00157F17" w:rsidRPr="00840E13" w:rsidRDefault="00157F17" w:rsidP="00157F17">
      <w:pPr>
        <w:ind w:left="851"/>
        <w:jc w:val="both"/>
        <w:rPr>
          <w:rFonts w:ascii="Times New Roman" w:hAnsi="Times New Roman"/>
          <w:sz w:val="24"/>
          <w:szCs w:val="24"/>
        </w:rPr>
      </w:pPr>
      <w:r w:rsidRPr="00840E13">
        <w:rPr>
          <w:rFonts w:ascii="Times New Roman" w:hAnsi="Times New Roman"/>
          <w:sz w:val="24"/>
          <w:szCs w:val="24"/>
        </w:rPr>
        <w:lastRenderedPageBreak/>
        <w:t>Au sujet des rése</w:t>
      </w:r>
      <w:r>
        <w:rPr>
          <w:rFonts w:ascii="Times New Roman" w:hAnsi="Times New Roman"/>
          <w:sz w:val="24"/>
          <w:szCs w:val="24"/>
        </w:rPr>
        <w:t xml:space="preserve">rves des champs en exploration, le SGH a affirmé que l’information sera disponible à l’issue de la certification des  réserves en cours de réalisation. </w:t>
      </w:r>
    </w:p>
    <w:p w14:paraId="5C3AAB12" w14:textId="77777777" w:rsidR="00157F17" w:rsidRPr="00840E13" w:rsidRDefault="00157F17" w:rsidP="000738D3">
      <w:pPr>
        <w:pStyle w:val="Titre3"/>
        <w:numPr>
          <w:ilvl w:val="0"/>
          <w:numId w:val="13"/>
        </w:numPr>
        <w:ind w:left="1134" w:hanging="283"/>
        <w:rPr>
          <w:rFonts w:ascii="Times New Roman" w:hAnsi="Times New Roman" w:cs="Times New Roman"/>
          <w:sz w:val="24"/>
          <w:szCs w:val="24"/>
        </w:rPr>
      </w:pPr>
      <w:bookmarkStart w:id="152" w:name="_Toc516047998"/>
      <w:bookmarkStart w:id="153" w:name="_Toc518468086"/>
      <w:r w:rsidRPr="00840E13">
        <w:rPr>
          <w:rFonts w:ascii="Times New Roman" w:hAnsi="Times New Roman" w:cs="Times New Roman"/>
          <w:sz w:val="24"/>
          <w:szCs w:val="24"/>
        </w:rPr>
        <w:t>Secteur Minier</w:t>
      </w:r>
      <w:bookmarkEnd w:id="152"/>
      <w:bookmarkEnd w:id="153"/>
    </w:p>
    <w:tbl>
      <w:tblPr>
        <w:tblStyle w:val="TableauGrille1Clair1"/>
        <w:tblpPr w:leftFromText="141" w:rightFromText="141" w:vertAnchor="text" w:horzAnchor="margin" w:tblpXSpec="center" w:tblpY="1048"/>
        <w:tblW w:w="0" w:type="auto"/>
        <w:tblLook w:val="04A0" w:firstRow="1" w:lastRow="0" w:firstColumn="1" w:lastColumn="0" w:noHBand="0" w:noVBand="1"/>
      </w:tblPr>
      <w:tblGrid>
        <w:gridCol w:w="3815"/>
        <w:gridCol w:w="1690"/>
        <w:gridCol w:w="2431"/>
      </w:tblGrid>
      <w:tr w:rsidR="00157F17" w:rsidRPr="00840E13" w14:paraId="483A29D7" w14:textId="77777777" w:rsidTr="00002ED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1C1BF62" w14:textId="77777777" w:rsidR="00157F17" w:rsidRPr="00840E13" w:rsidRDefault="00157F17" w:rsidP="00002ED3">
            <w:pPr>
              <w:ind w:left="313"/>
              <w:jc w:val="center"/>
              <w:rPr>
                <w:rFonts w:ascii="Times New Roman" w:eastAsia="Times New Roman" w:hAnsi="Times New Roman"/>
                <w:b w:val="0"/>
                <w:bCs w:val="0"/>
                <w:sz w:val="28"/>
                <w:szCs w:val="28"/>
                <w:lang w:eastAsia="fr-FR"/>
              </w:rPr>
            </w:pPr>
            <w:r w:rsidRPr="00840E13">
              <w:rPr>
                <w:rFonts w:ascii="Times New Roman" w:eastAsia="Times New Roman" w:hAnsi="Times New Roman"/>
                <w:sz w:val="28"/>
                <w:szCs w:val="28"/>
                <w:lang w:eastAsia="fr-FR"/>
              </w:rPr>
              <w:t>Libellés</w:t>
            </w:r>
          </w:p>
        </w:tc>
        <w:tc>
          <w:tcPr>
            <w:tcW w:w="4121" w:type="dxa"/>
            <w:gridSpan w:val="2"/>
            <w:vAlign w:val="center"/>
            <w:hideMark/>
          </w:tcPr>
          <w:p w14:paraId="10D7F762" w14:textId="77777777" w:rsidR="00157F17" w:rsidRPr="00840E13" w:rsidRDefault="00157F17" w:rsidP="00002ED3">
            <w:pPr>
              <w:ind w:left="3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8"/>
                <w:szCs w:val="28"/>
                <w:lang w:eastAsia="fr-FR"/>
              </w:rPr>
            </w:pPr>
            <w:r w:rsidRPr="00840E13">
              <w:rPr>
                <w:rFonts w:ascii="Times New Roman" w:eastAsia="Times New Roman" w:hAnsi="Times New Roman"/>
                <w:sz w:val="28"/>
                <w:szCs w:val="28"/>
                <w:lang w:eastAsia="fr-FR"/>
              </w:rPr>
              <w:t>Exercices</w:t>
            </w:r>
          </w:p>
        </w:tc>
      </w:tr>
      <w:tr w:rsidR="00157F17" w:rsidRPr="00840E13" w14:paraId="370ABDB3" w14:textId="77777777" w:rsidTr="00753CBE">
        <w:trPr>
          <w:trHeight w:val="360"/>
        </w:trPr>
        <w:tc>
          <w:tcPr>
            <w:cnfStyle w:val="001000000000" w:firstRow="0" w:lastRow="0" w:firstColumn="1" w:lastColumn="0" w:oddVBand="0" w:evenVBand="0" w:oddHBand="0" w:evenHBand="0" w:firstRowFirstColumn="0" w:firstRowLastColumn="0" w:lastRowFirstColumn="0" w:lastRowLastColumn="0"/>
            <w:tcW w:w="0" w:type="auto"/>
            <w:vMerge/>
            <w:hideMark/>
          </w:tcPr>
          <w:p w14:paraId="7A6402A1" w14:textId="77777777" w:rsidR="00157F17" w:rsidRPr="00840E13" w:rsidRDefault="00157F17" w:rsidP="00E4464E">
            <w:pPr>
              <w:ind w:left="567"/>
              <w:rPr>
                <w:rFonts w:ascii="Times New Roman" w:eastAsia="Times New Roman" w:hAnsi="Times New Roman"/>
                <w:b w:val="0"/>
                <w:bCs w:val="0"/>
                <w:color w:val="000000"/>
                <w:sz w:val="28"/>
                <w:szCs w:val="28"/>
                <w:lang w:eastAsia="fr-FR"/>
              </w:rPr>
            </w:pPr>
          </w:p>
        </w:tc>
        <w:tc>
          <w:tcPr>
            <w:tcW w:w="1690" w:type="dxa"/>
            <w:hideMark/>
          </w:tcPr>
          <w:p w14:paraId="69C5DF69" w14:textId="77777777" w:rsidR="00157F17" w:rsidRPr="00840E13" w:rsidRDefault="00157F17" w:rsidP="00E4464E">
            <w:pPr>
              <w:ind w:left="3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8"/>
                <w:szCs w:val="28"/>
                <w:lang w:eastAsia="fr-FR"/>
              </w:rPr>
            </w:pPr>
            <w:r w:rsidRPr="00840E13">
              <w:rPr>
                <w:rFonts w:ascii="Times New Roman" w:eastAsia="Times New Roman" w:hAnsi="Times New Roman"/>
                <w:b/>
                <w:bCs/>
                <w:color w:val="000000"/>
                <w:sz w:val="28"/>
                <w:szCs w:val="28"/>
                <w:lang w:eastAsia="fr-FR"/>
              </w:rPr>
              <w:t>2016</w:t>
            </w:r>
          </w:p>
        </w:tc>
        <w:tc>
          <w:tcPr>
            <w:tcW w:w="2431" w:type="dxa"/>
            <w:hideMark/>
          </w:tcPr>
          <w:p w14:paraId="6718A1F9" w14:textId="77777777" w:rsidR="00157F17" w:rsidRPr="00840E13" w:rsidRDefault="00157F17" w:rsidP="00E4464E">
            <w:pPr>
              <w:ind w:left="3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8"/>
                <w:szCs w:val="28"/>
                <w:lang w:eastAsia="fr-FR"/>
              </w:rPr>
            </w:pPr>
            <w:r w:rsidRPr="00840E13">
              <w:rPr>
                <w:rFonts w:ascii="Times New Roman" w:eastAsia="Times New Roman" w:hAnsi="Times New Roman"/>
                <w:b/>
                <w:bCs/>
                <w:color w:val="000000"/>
                <w:sz w:val="28"/>
                <w:szCs w:val="28"/>
                <w:lang w:eastAsia="fr-FR"/>
              </w:rPr>
              <w:t>2017</w:t>
            </w:r>
          </w:p>
        </w:tc>
      </w:tr>
      <w:tr w:rsidR="00157F17" w:rsidRPr="00840E13" w14:paraId="46B20313"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21C599D"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Nombre de détenteurs des PR*</w:t>
            </w:r>
          </w:p>
        </w:tc>
        <w:tc>
          <w:tcPr>
            <w:tcW w:w="1690" w:type="dxa"/>
            <w:noWrap/>
            <w:hideMark/>
          </w:tcPr>
          <w:p w14:paraId="04A6B0DC"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250</w:t>
            </w:r>
          </w:p>
        </w:tc>
        <w:tc>
          <w:tcPr>
            <w:tcW w:w="2431" w:type="dxa"/>
            <w:hideMark/>
          </w:tcPr>
          <w:p w14:paraId="09DB8CB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317</w:t>
            </w:r>
          </w:p>
        </w:tc>
      </w:tr>
      <w:tr w:rsidR="00157F17" w:rsidRPr="00840E13" w14:paraId="5AD280D8" w14:textId="77777777" w:rsidTr="00753CBE">
        <w:trPr>
          <w:trHeight w:val="36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2CCB64"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Nombre de PR valides</w:t>
            </w:r>
          </w:p>
        </w:tc>
        <w:tc>
          <w:tcPr>
            <w:tcW w:w="1690" w:type="dxa"/>
            <w:noWrap/>
            <w:hideMark/>
          </w:tcPr>
          <w:p w14:paraId="6F838CD9"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1387</w:t>
            </w:r>
          </w:p>
        </w:tc>
        <w:tc>
          <w:tcPr>
            <w:tcW w:w="2431" w:type="dxa"/>
            <w:noWrap/>
            <w:hideMark/>
          </w:tcPr>
          <w:p w14:paraId="24BF52A6"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1672</w:t>
            </w:r>
          </w:p>
        </w:tc>
      </w:tr>
      <w:tr w:rsidR="00157F17" w:rsidRPr="00840E13" w14:paraId="64D80FAB"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8A5D6CD"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PR transformés en PE</w:t>
            </w:r>
          </w:p>
        </w:tc>
        <w:tc>
          <w:tcPr>
            <w:tcW w:w="1690" w:type="dxa"/>
            <w:noWrap/>
            <w:hideMark/>
          </w:tcPr>
          <w:p w14:paraId="6D2E6BBC"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85</w:t>
            </w:r>
          </w:p>
        </w:tc>
        <w:tc>
          <w:tcPr>
            <w:tcW w:w="2431" w:type="dxa"/>
            <w:noWrap/>
            <w:hideMark/>
          </w:tcPr>
          <w:p w14:paraId="28E7EF6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85</w:t>
            </w:r>
          </w:p>
        </w:tc>
      </w:tr>
      <w:tr w:rsidR="00157F17" w:rsidRPr="00840E13" w14:paraId="67D49896"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FDDF760"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Titulaires ayant transformé PR en PE</w:t>
            </w:r>
          </w:p>
        </w:tc>
        <w:tc>
          <w:tcPr>
            <w:tcW w:w="1690" w:type="dxa"/>
            <w:noWrap/>
            <w:hideMark/>
          </w:tcPr>
          <w:p w14:paraId="1167F911"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23</w:t>
            </w:r>
          </w:p>
        </w:tc>
        <w:tc>
          <w:tcPr>
            <w:tcW w:w="2431" w:type="dxa"/>
            <w:noWrap/>
            <w:hideMark/>
          </w:tcPr>
          <w:p w14:paraId="5CCAB6D3"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27</w:t>
            </w:r>
          </w:p>
        </w:tc>
      </w:tr>
      <w:tr w:rsidR="00157F17" w:rsidRPr="00840E13" w14:paraId="05C76BE7"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1EEADD3"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PR transformés en PEPM</w:t>
            </w:r>
          </w:p>
        </w:tc>
        <w:tc>
          <w:tcPr>
            <w:tcW w:w="1690" w:type="dxa"/>
            <w:noWrap/>
            <w:hideMark/>
          </w:tcPr>
          <w:p w14:paraId="1C8F50BF"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42</w:t>
            </w:r>
          </w:p>
        </w:tc>
        <w:tc>
          <w:tcPr>
            <w:tcW w:w="2431" w:type="dxa"/>
            <w:noWrap/>
            <w:hideMark/>
          </w:tcPr>
          <w:p w14:paraId="411961BD"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57</w:t>
            </w:r>
          </w:p>
        </w:tc>
      </w:tr>
      <w:tr w:rsidR="00157F17" w:rsidRPr="00840E13" w14:paraId="57AEDC01" w14:textId="77777777" w:rsidTr="00753CBE">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E832108" w14:textId="77777777" w:rsidR="00157F17" w:rsidRPr="00400A0D" w:rsidRDefault="00157F17" w:rsidP="00002ED3">
            <w:pPr>
              <w:rPr>
                <w:rFonts w:ascii="Times New Roman" w:eastAsia="Times New Roman" w:hAnsi="Times New Roman"/>
                <w:b w:val="0"/>
                <w:color w:val="000000"/>
                <w:lang w:eastAsia="fr-FR"/>
              </w:rPr>
            </w:pPr>
            <w:r w:rsidRPr="00400A0D">
              <w:rPr>
                <w:rFonts w:ascii="Times New Roman" w:eastAsia="Times New Roman" w:hAnsi="Times New Roman"/>
                <w:b w:val="0"/>
                <w:color w:val="000000"/>
                <w:lang w:eastAsia="fr-FR"/>
              </w:rPr>
              <w:t>Titulaires ayant transformé PR en PEPM</w:t>
            </w:r>
          </w:p>
        </w:tc>
        <w:tc>
          <w:tcPr>
            <w:tcW w:w="1690" w:type="dxa"/>
            <w:noWrap/>
            <w:hideMark/>
          </w:tcPr>
          <w:p w14:paraId="17971EE1"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18</w:t>
            </w:r>
          </w:p>
        </w:tc>
        <w:tc>
          <w:tcPr>
            <w:tcW w:w="2431" w:type="dxa"/>
            <w:noWrap/>
            <w:hideMark/>
          </w:tcPr>
          <w:p w14:paraId="1B885197" w14:textId="77777777" w:rsidR="00157F17" w:rsidRPr="00840E13" w:rsidRDefault="00157F17" w:rsidP="00753CBE">
            <w:pPr>
              <w:ind w:left="34"/>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840E13">
              <w:rPr>
                <w:rFonts w:ascii="Times New Roman" w:eastAsia="Times New Roman" w:hAnsi="Times New Roman"/>
                <w:color w:val="000000"/>
                <w:lang w:eastAsia="fr-FR"/>
              </w:rPr>
              <w:t>21</w:t>
            </w:r>
          </w:p>
        </w:tc>
      </w:tr>
    </w:tbl>
    <w:p w14:paraId="0B1A6778" w14:textId="54E1699A" w:rsidR="00157F17" w:rsidRPr="00636D82" w:rsidRDefault="007C4E20" w:rsidP="00157F17">
      <w:pPr>
        <w:pStyle w:val="Paragraphedeliste"/>
        <w:ind w:left="851"/>
        <w:jc w:val="both"/>
        <w:rPr>
          <w:rFonts w:ascii="Times New Roman" w:hAnsi="Times New Roman" w:cs="Times New Roman"/>
          <w:sz w:val="24"/>
          <w:szCs w:val="24"/>
        </w:rPr>
      </w:pPr>
      <w:r>
        <w:rPr>
          <w:rFonts w:ascii="Times New Roman" w:hAnsi="Times New Roman" w:cs="Times New Roman"/>
          <w:sz w:val="24"/>
          <w:szCs w:val="24"/>
        </w:rPr>
        <w:t>Le CAMI a</w:t>
      </w:r>
      <w:r w:rsidR="00157F17" w:rsidRPr="00840E13">
        <w:rPr>
          <w:rFonts w:ascii="Times New Roman" w:hAnsi="Times New Roman" w:cs="Times New Roman"/>
          <w:sz w:val="24"/>
          <w:szCs w:val="24"/>
        </w:rPr>
        <w:t xml:space="preserve"> communiqué</w:t>
      </w:r>
      <w:r>
        <w:rPr>
          <w:rFonts w:ascii="Times New Roman" w:hAnsi="Times New Roman" w:cs="Times New Roman"/>
          <w:sz w:val="24"/>
          <w:szCs w:val="24"/>
        </w:rPr>
        <w:t xml:space="preserve"> au ST</w:t>
      </w:r>
      <w:r w:rsidR="00157F17">
        <w:rPr>
          <w:rFonts w:ascii="Times New Roman" w:hAnsi="Times New Roman" w:cs="Times New Roman"/>
          <w:sz w:val="24"/>
          <w:szCs w:val="24"/>
        </w:rPr>
        <w:t xml:space="preserve"> le Registre 2016 qui a été</w:t>
      </w:r>
      <w:r w:rsidR="00157F17" w:rsidRPr="00840E13">
        <w:rPr>
          <w:rFonts w:ascii="Times New Roman" w:hAnsi="Times New Roman" w:cs="Times New Roman"/>
          <w:sz w:val="24"/>
          <w:szCs w:val="24"/>
        </w:rPr>
        <w:t xml:space="preserve"> confronté aux déclarations des entreprises</w:t>
      </w:r>
      <w:r>
        <w:rPr>
          <w:rFonts w:ascii="Times New Roman" w:hAnsi="Times New Roman" w:cs="Times New Roman"/>
          <w:sz w:val="24"/>
          <w:szCs w:val="24"/>
        </w:rPr>
        <w:t>. Il a également transmis</w:t>
      </w:r>
      <w:r w:rsidR="00157F17" w:rsidRPr="00840E13">
        <w:rPr>
          <w:rFonts w:ascii="Times New Roman" w:hAnsi="Times New Roman" w:cs="Times New Roman"/>
          <w:sz w:val="24"/>
          <w:szCs w:val="24"/>
        </w:rPr>
        <w:t xml:space="preserve"> le Registre 2017. Le r</w:t>
      </w:r>
      <w:r w:rsidR="00157F17">
        <w:rPr>
          <w:rFonts w:ascii="Times New Roman" w:hAnsi="Times New Roman" w:cs="Times New Roman"/>
          <w:sz w:val="24"/>
          <w:szCs w:val="24"/>
        </w:rPr>
        <w:t xml:space="preserve">ésultat </w:t>
      </w:r>
      <w:r>
        <w:rPr>
          <w:rFonts w:ascii="Times New Roman" w:hAnsi="Times New Roman" w:cs="Times New Roman"/>
          <w:sz w:val="24"/>
          <w:szCs w:val="24"/>
        </w:rPr>
        <w:t xml:space="preserve"> de l’analyse de ces deux Registres s</w:t>
      </w:r>
      <w:r w:rsidR="00157F17">
        <w:rPr>
          <w:rFonts w:ascii="Times New Roman" w:hAnsi="Times New Roman" w:cs="Times New Roman"/>
          <w:sz w:val="24"/>
          <w:szCs w:val="24"/>
        </w:rPr>
        <w:t>e présente comme suit</w:t>
      </w:r>
      <w:r>
        <w:rPr>
          <w:rFonts w:ascii="Times New Roman" w:hAnsi="Times New Roman" w:cs="Times New Roman"/>
          <w:sz w:val="24"/>
          <w:szCs w:val="24"/>
        </w:rPr>
        <w:t> :</w:t>
      </w:r>
      <w:r w:rsidR="00157F17">
        <w:rPr>
          <w:rFonts w:ascii="Times New Roman" w:hAnsi="Times New Roman" w:cs="Times New Roman"/>
          <w:sz w:val="24"/>
          <w:szCs w:val="24"/>
        </w:rPr>
        <w:t> </w:t>
      </w:r>
    </w:p>
    <w:p w14:paraId="0F001068" w14:textId="77777777" w:rsidR="00157F17" w:rsidRPr="00840E13" w:rsidRDefault="00157F17" w:rsidP="00157F17">
      <w:pPr>
        <w:ind w:left="567"/>
        <w:jc w:val="both"/>
        <w:rPr>
          <w:rFonts w:ascii="Times New Roman" w:hAnsi="Times New Roman"/>
          <w:sz w:val="20"/>
          <w:szCs w:val="20"/>
        </w:rPr>
      </w:pPr>
    </w:p>
    <w:p w14:paraId="296F9401" w14:textId="77777777" w:rsidR="00400A0D" w:rsidRDefault="00400A0D" w:rsidP="00157F17">
      <w:pPr>
        <w:ind w:left="567"/>
        <w:jc w:val="both"/>
        <w:rPr>
          <w:rFonts w:ascii="Times New Roman" w:hAnsi="Times New Roman"/>
          <w:sz w:val="20"/>
          <w:szCs w:val="20"/>
        </w:rPr>
      </w:pPr>
    </w:p>
    <w:p w14:paraId="388DB7FD" w14:textId="77777777" w:rsidR="00400A0D" w:rsidRDefault="00400A0D" w:rsidP="00157F17">
      <w:pPr>
        <w:ind w:left="567"/>
        <w:jc w:val="both"/>
        <w:rPr>
          <w:rFonts w:ascii="Times New Roman" w:hAnsi="Times New Roman"/>
          <w:sz w:val="20"/>
          <w:szCs w:val="20"/>
        </w:rPr>
      </w:pPr>
    </w:p>
    <w:p w14:paraId="2FD845A5" w14:textId="77777777" w:rsidR="00400A0D" w:rsidRDefault="00400A0D" w:rsidP="00157F17">
      <w:pPr>
        <w:ind w:left="567"/>
        <w:jc w:val="both"/>
        <w:rPr>
          <w:rFonts w:ascii="Times New Roman" w:hAnsi="Times New Roman"/>
          <w:sz w:val="20"/>
          <w:szCs w:val="20"/>
        </w:rPr>
      </w:pPr>
    </w:p>
    <w:p w14:paraId="16F49187" w14:textId="77777777" w:rsidR="00400A0D" w:rsidRDefault="00400A0D" w:rsidP="00157F17">
      <w:pPr>
        <w:ind w:left="567"/>
        <w:jc w:val="both"/>
        <w:rPr>
          <w:rFonts w:ascii="Times New Roman" w:hAnsi="Times New Roman"/>
          <w:sz w:val="20"/>
          <w:szCs w:val="20"/>
        </w:rPr>
      </w:pPr>
    </w:p>
    <w:p w14:paraId="3F7F9F91" w14:textId="77777777" w:rsidR="00400A0D" w:rsidRDefault="00400A0D" w:rsidP="00157F17">
      <w:pPr>
        <w:ind w:left="567"/>
        <w:jc w:val="both"/>
        <w:rPr>
          <w:rFonts w:ascii="Times New Roman" w:hAnsi="Times New Roman"/>
          <w:sz w:val="20"/>
          <w:szCs w:val="20"/>
        </w:rPr>
      </w:pPr>
    </w:p>
    <w:p w14:paraId="1E194802" w14:textId="77777777" w:rsidR="00400A0D" w:rsidRDefault="00400A0D" w:rsidP="00157F17">
      <w:pPr>
        <w:ind w:left="567"/>
        <w:jc w:val="both"/>
        <w:rPr>
          <w:rFonts w:ascii="Times New Roman" w:hAnsi="Times New Roman"/>
          <w:sz w:val="20"/>
          <w:szCs w:val="20"/>
        </w:rPr>
      </w:pPr>
    </w:p>
    <w:p w14:paraId="108226E6" w14:textId="77777777" w:rsidR="00157F17" w:rsidRDefault="00157F17" w:rsidP="00157F17">
      <w:pPr>
        <w:ind w:left="567"/>
        <w:jc w:val="both"/>
        <w:rPr>
          <w:rFonts w:ascii="Times New Roman" w:hAnsi="Times New Roman"/>
          <w:sz w:val="20"/>
          <w:szCs w:val="20"/>
        </w:rPr>
      </w:pPr>
      <w:r w:rsidRPr="00840E13">
        <w:rPr>
          <w:rFonts w:ascii="Times New Roman" w:hAnsi="Times New Roman"/>
          <w:sz w:val="20"/>
          <w:szCs w:val="20"/>
        </w:rPr>
        <w:t>PR : Permis de Recherche, PE : Permis d’exploitation, PEPM : Permis d’exploitation de la petite mine.</w:t>
      </w:r>
    </w:p>
    <w:p w14:paraId="4AEC2F65" w14:textId="77777777" w:rsidR="00400A0D" w:rsidRDefault="00157F17" w:rsidP="00157F17">
      <w:pPr>
        <w:ind w:left="567"/>
        <w:jc w:val="both"/>
        <w:rPr>
          <w:rFonts w:ascii="Times New Roman" w:hAnsi="Times New Roman"/>
          <w:sz w:val="24"/>
          <w:szCs w:val="24"/>
        </w:rPr>
      </w:pPr>
      <w:r>
        <w:rPr>
          <w:rFonts w:ascii="Times New Roman" w:hAnsi="Times New Roman"/>
          <w:sz w:val="24"/>
          <w:szCs w:val="24"/>
        </w:rPr>
        <w:t xml:space="preserve"> </w:t>
      </w:r>
    </w:p>
    <w:p w14:paraId="6C1AF31C" w14:textId="1AA19CAE" w:rsidR="00157F17" w:rsidRPr="00636D82" w:rsidRDefault="00157F17" w:rsidP="00157F17">
      <w:pPr>
        <w:ind w:left="567"/>
        <w:jc w:val="both"/>
        <w:rPr>
          <w:rFonts w:ascii="Times New Roman" w:hAnsi="Times New Roman"/>
          <w:sz w:val="20"/>
          <w:szCs w:val="20"/>
        </w:rPr>
      </w:pPr>
      <w:r>
        <w:rPr>
          <w:rFonts w:ascii="Times New Roman" w:hAnsi="Times New Roman"/>
          <w:sz w:val="24"/>
          <w:szCs w:val="24"/>
        </w:rPr>
        <w:t>L</w:t>
      </w:r>
      <w:r w:rsidRPr="00840E13">
        <w:rPr>
          <w:rFonts w:ascii="Times New Roman" w:hAnsi="Times New Roman"/>
          <w:sz w:val="24"/>
          <w:szCs w:val="24"/>
        </w:rPr>
        <w:t>es entreprises en phase de recherche</w:t>
      </w:r>
      <w:r>
        <w:rPr>
          <w:rFonts w:ascii="Times New Roman" w:hAnsi="Times New Roman"/>
          <w:sz w:val="24"/>
          <w:szCs w:val="24"/>
        </w:rPr>
        <w:t xml:space="preserve"> </w:t>
      </w:r>
      <w:r w:rsidRPr="00840E13">
        <w:rPr>
          <w:rFonts w:ascii="Times New Roman" w:hAnsi="Times New Roman"/>
          <w:sz w:val="24"/>
          <w:szCs w:val="24"/>
        </w:rPr>
        <w:t>mais détentrices des permis d’exploitation</w:t>
      </w:r>
      <w:r>
        <w:rPr>
          <w:rFonts w:ascii="Times New Roman" w:hAnsi="Times New Roman"/>
          <w:sz w:val="24"/>
          <w:szCs w:val="24"/>
        </w:rPr>
        <w:t xml:space="preserve"> ont été </w:t>
      </w:r>
      <w:r>
        <w:rPr>
          <w:rFonts w:ascii="Times New Roman" w:hAnsi="Times New Roman"/>
          <w:bCs/>
          <w:sz w:val="24"/>
          <w:szCs w:val="24"/>
          <w:lang w:eastAsia="fr-FR"/>
        </w:rPr>
        <w:t>approchées en vue d’</w:t>
      </w:r>
      <w:r w:rsidRPr="00840E13">
        <w:rPr>
          <w:rFonts w:ascii="Times New Roman" w:hAnsi="Times New Roman"/>
          <w:sz w:val="24"/>
          <w:szCs w:val="24"/>
        </w:rPr>
        <w:t>obtenir d’elles l’information s</w:t>
      </w:r>
      <w:r w:rsidR="007C4E20">
        <w:rPr>
          <w:rFonts w:ascii="Times New Roman" w:hAnsi="Times New Roman"/>
          <w:sz w:val="24"/>
          <w:szCs w:val="24"/>
        </w:rPr>
        <w:t>ur les mines en construction. L</w:t>
      </w:r>
      <w:r w:rsidR="003B49C0">
        <w:rPr>
          <w:rFonts w:ascii="Times New Roman" w:hAnsi="Times New Roman"/>
          <w:sz w:val="24"/>
          <w:szCs w:val="24"/>
        </w:rPr>
        <w:t>e résultat du traitement de l’</w:t>
      </w:r>
      <w:r w:rsidR="007C4E20">
        <w:rPr>
          <w:rFonts w:ascii="Times New Roman" w:hAnsi="Times New Roman"/>
          <w:sz w:val="24"/>
          <w:szCs w:val="24"/>
        </w:rPr>
        <w:t>information</w:t>
      </w:r>
      <w:r w:rsidR="003B49C0">
        <w:rPr>
          <w:rFonts w:ascii="Times New Roman" w:hAnsi="Times New Roman"/>
          <w:sz w:val="24"/>
          <w:szCs w:val="24"/>
        </w:rPr>
        <w:t xml:space="preserve"> communiquée </w:t>
      </w:r>
      <w:r w:rsidRPr="00840E13">
        <w:rPr>
          <w:rFonts w:ascii="Times New Roman" w:hAnsi="Times New Roman"/>
          <w:sz w:val="24"/>
          <w:szCs w:val="24"/>
        </w:rPr>
        <w:t xml:space="preserve"> est résumé dans le tableau ci-après :</w:t>
      </w:r>
    </w:p>
    <w:tbl>
      <w:tblPr>
        <w:tblStyle w:val="TableauGrille1Clair1"/>
        <w:tblW w:w="8789" w:type="dxa"/>
        <w:tblInd w:w="675" w:type="dxa"/>
        <w:tblLook w:val="04A0" w:firstRow="1" w:lastRow="0" w:firstColumn="1" w:lastColumn="0" w:noHBand="0" w:noVBand="1"/>
      </w:tblPr>
      <w:tblGrid>
        <w:gridCol w:w="709"/>
        <w:gridCol w:w="1843"/>
        <w:gridCol w:w="1560"/>
        <w:gridCol w:w="708"/>
        <w:gridCol w:w="2126"/>
        <w:gridCol w:w="1843"/>
      </w:tblGrid>
      <w:tr w:rsidR="00157F17" w:rsidRPr="00840E13" w14:paraId="758FF90A" w14:textId="77777777" w:rsidTr="00400A0D">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709" w:type="dxa"/>
            <w:hideMark/>
          </w:tcPr>
          <w:p w14:paraId="60ED63CB" w14:textId="56C852FC" w:rsidR="00157F17" w:rsidRPr="00840E13" w:rsidRDefault="00400A0D" w:rsidP="00E4464E">
            <w:pPr>
              <w:rPr>
                <w:rFonts w:ascii="Times New Roman" w:eastAsia="Times New Roman" w:hAnsi="Times New Roman"/>
                <w:sz w:val="18"/>
                <w:szCs w:val="18"/>
                <w:lang w:eastAsia="fr-FR"/>
              </w:rPr>
            </w:pPr>
            <w:r>
              <w:rPr>
                <w:rFonts w:ascii="Times New Roman" w:eastAsia="Times New Roman" w:hAnsi="Times New Roman"/>
                <w:sz w:val="18"/>
                <w:szCs w:val="18"/>
                <w:lang w:eastAsia="fr-FR"/>
              </w:rPr>
              <w:t>y</w:t>
            </w:r>
          </w:p>
        </w:tc>
        <w:tc>
          <w:tcPr>
            <w:tcW w:w="1843" w:type="dxa"/>
            <w:hideMark/>
          </w:tcPr>
          <w:p w14:paraId="0E1A4EDF"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Nom de l’entreprise</w:t>
            </w:r>
          </w:p>
        </w:tc>
        <w:tc>
          <w:tcPr>
            <w:tcW w:w="1560" w:type="dxa"/>
            <w:hideMark/>
          </w:tcPr>
          <w:p w14:paraId="2250789C"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Localisation</w:t>
            </w:r>
          </w:p>
        </w:tc>
        <w:tc>
          <w:tcPr>
            <w:tcW w:w="708" w:type="dxa"/>
            <w:hideMark/>
          </w:tcPr>
          <w:p w14:paraId="042FC9F9"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w:t>
            </w:r>
          </w:p>
        </w:tc>
        <w:tc>
          <w:tcPr>
            <w:tcW w:w="2126" w:type="dxa"/>
            <w:hideMark/>
          </w:tcPr>
          <w:p w14:paraId="38640C01"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Nom de l’entreprise</w:t>
            </w:r>
          </w:p>
        </w:tc>
        <w:tc>
          <w:tcPr>
            <w:tcW w:w="1843" w:type="dxa"/>
            <w:hideMark/>
          </w:tcPr>
          <w:p w14:paraId="712D6531" w14:textId="77777777" w:rsidR="00157F17" w:rsidRPr="00840E13" w:rsidRDefault="00157F17" w:rsidP="00E4464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840E13">
              <w:rPr>
                <w:rFonts w:ascii="Times New Roman" w:eastAsia="Times New Roman" w:hAnsi="Times New Roman"/>
                <w:sz w:val="18"/>
                <w:szCs w:val="18"/>
                <w:lang w:eastAsia="fr-FR"/>
              </w:rPr>
              <w:t>Localisation</w:t>
            </w:r>
          </w:p>
        </w:tc>
      </w:tr>
      <w:tr w:rsidR="00157F17" w:rsidRPr="00840E13" w14:paraId="6C25BC7C"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2F51F8BC"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1.     </w:t>
            </w:r>
          </w:p>
        </w:tc>
        <w:tc>
          <w:tcPr>
            <w:tcW w:w="1843" w:type="dxa"/>
            <w:hideMark/>
          </w:tcPr>
          <w:p w14:paraId="76C000C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ALPHAMINES BISIE</w:t>
            </w:r>
          </w:p>
        </w:tc>
        <w:tc>
          <w:tcPr>
            <w:tcW w:w="1560" w:type="dxa"/>
            <w:hideMark/>
          </w:tcPr>
          <w:p w14:paraId="3EEA2915"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Nord-Kivu</w:t>
            </w:r>
          </w:p>
        </w:tc>
        <w:tc>
          <w:tcPr>
            <w:tcW w:w="708" w:type="dxa"/>
            <w:hideMark/>
          </w:tcPr>
          <w:p w14:paraId="3836E85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10. </w:t>
            </w:r>
          </w:p>
        </w:tc>
        <w:tc>
          <w:tcPr>
            <w:tcW w:w="2126" w:type="dxa"/>
            <w:hideMark/>
          </w:tcPr>
          <w:p w14:paraId="2D7D1A8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LOMAMI RESOURCES</w:t>
            </w:r>
          </w:p>
        </w:tc>
        <w:tc>
          <w:tcPr>
            <w:tcW w:w="1843" w:type="dxa"/>
            <w:hideMark/>
          </w:tcPr>
          <w:p w14:paraId="3370096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Lomami</w:t>
            </w:r>
          </w:p>
        </w:tc>
      </w:tr>
      <w:tr w:rsidR="00157F17" w:rsidRPr="00840E13" w14:paraId="3ABA16A7"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7EBCDBDA"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2.     </w:t>
            </w:r>
          </w:p>
        </w:tc>
        <w:tc>
          <w:tcPr>
            <w:tcW w:w="1843" w:type="dxa"/>
            <w:hideMark/>
          </w:tcPr>
          <w:p w14:paraId="2E4B2F4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 xml:space="preserve"> COMILU</w:t>
            </w:r>
          </w:p>
        </w:tc>
        <w:tc>
          <w:tcPr>
            <w:tcW w:w="1560" w:type="dxa"/>
            <w:hideMark/>
          </w:tcPr>
          <w:p w14:paraId="1562BFF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086A5D0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11. </w:t>
            </w:r>
          </w:p>
        </w:tc>
        <w:tc>
          <w:tcPr>
            <w:tcW w:w="2126" w:type="dxa"/>
            <w:hideMark/>
          </w:tcPr>
          <w:p w14:paraId="737F1B7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MJM</w:t>
            </w:r>
          </w:p>
        </w:tc>
        <w:tc>
          <w:tcPr>
            <w:tcW w:w="1843" w:type="dxa"/>
            <w:hideMark/>
          </w:tcPr>
          <w:p w14:paraId="6E4DD38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45D5856D"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1003C855"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3.     </w:t>
            </w:r>
          </w:p>
        </w:tc>
        <w:tc>
          <w:tcPr>
            <w:tcW w:w="1843" w:type="dxa"/>
            <w:hideMark/>
          </w:tcPr>
          <w:p w14:paraId="7C29192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CROWN MINING</w:t>
            </w:r>
          </w:p>
        </w:tc>
        <w:tc>
          <w:tcPr>
            <w:tcW w:w="1560" w:type="dxa"/>
            <w:hideMark/>
          </w:tcPr>
          <w:p w14:paraId="4FB7CB4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c>
          <w:tcPr>
            <w:tcW w:w="708" w:type="dxa"/>
            <w:hideMark/>
          </w:tcPr>
          <w:p w14:paraId="58FF683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12. </w:t>
            </w:r>
          </w:p>
        </w:tc>
        <w:tc>
          <w:tcPr>
            <w:tcW w:w="2126" w:type="dxa"/>
            <w:hideMark/>
          </w:tcPr>
          <w:p w14:paraId="594D1F7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SOMIMI</w:t>
            </w:r>
          </w:p>
        </w:tc>
        <w:tc>
          <w:tcPr>
            <w:tcW w:w="1843" w:type="dxa"/>
            <w:hideMark/>
          </w:tcPr>
          <w:p w14:paraId="7EBD78F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r>
      <w:tr w:rsidR="00157F17" w:rsidRPr="00840E13" w14:paraId="2C05C659" w14:textId="77777777" w:rsidTr="00400A0D">
        <w:trPr>
          <w:trHeight w:val="350"/>
        </w:trPr>
        <w:tc>
          <w:tcPr>
            <w:cnfStyle w:val="001000000000" w:firstRow="0" w:lastRow="0" w:firstColumn="1" w:lastColumn="0" w:oddVBand="0" w:evenVBand="0" w:oddHBand="0" w:evenHBand="0" w:firstRowFirstColumn="0" w:firstRowLastColumn="0" w:lastRowFirstColumn="0" w:lastRowLastColumn="0"/>
            <w:tcW w:w="709" w:type="dxa"/>
            <w:hideMark/>
          </w:tcPr>
          <w:p w14:paraId="2B6C725A"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4.     </w:t>
            </w:r>
          </w:p>
        </w:tc>
        <w:tc>
          <w:tcPr>
            <w:tcW w:w="1843" w:type="dxa"/>
            <w:hideMark/>
          </w:tcPr>
          <w:p w14:paraId="7A6BB2A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SECAKAT</w:t>
            </w:r>
          </w:p>
        </w:tc>
        <w:tc>
          <w:tcPr>
            <w:tcW w:w="1560" w:type="dxa"/>
            <w:hideMark/>
          </w:tcPr>
          <w:p w14:paraId="10B2515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23E857B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13. </w:t>
            </w:r>
          </w:p>
        </w:tc>
        <w:tc>
          <w:tcPr>
            <w:tcW w:w="2126" w:type="dxa"/>
            <w:hideMark/>
          </w:tcPr>
          <w:p w14:paraId="237AF0A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TGER RESOURCES</w:t>
            </w:r>
          </w:p>
        </w:tc>
        <w:tc>
          <w:tcPr>
            <w:tcW w:w="1843" w:type="dxa"/>
            <w:hideMark/>
          </w:tcPr>
          <w:p w14:paraId="3E6E642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00661F0D"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7497206B"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5.     </w:t>
            </w:r>
          </w:p>
        </w:tc>
        <w:tc>
          <w:tcPr>
            <w:tcW w:w="1843" w:type="dxa"/>
            <w:hideMark/>
          </w:tcPr>
          <w:p w14:paraId="64C38BC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SEGMAL</w:t>
            </w:r>
          </w:p>
        </w:tc>
        <w:tc>
          <w:tcPr>
            <w:tcW w:w="1560" w:type="dxa"/>
            <w:hideMark/>
          </w:tcPr>
          <w:p w14:paraId="3CD6222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c>
          <w:tcPr>
            <w:tcW w:w="708" w:type="dxa"/>
            <w:hideMark/>
          </w:tcPr>
          <w:p w14:paraId="7DE8988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14. </w:t>
            </w:r>
          </w:p>
        </w:tc>
        <w:tc>
          <w:tcPr>
            <w:tcW w:w="2126" w:type="dxa"/>
            <w:hideMark/>
          </w:tcPr>
          <w:p w14:paraId="5F30E1B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DATCOM</w:t>
            </w:r>
          </w:p>
        </w:tc>
        <w:tc>
          <w:tcPr>
            <w:tcW w:w="1843" w:type="dxa"/>
            <w:hideMark/>
          </w:tcPr>
          <w:p w14:paraId="714F0B0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Tanganyika</w:t>
            </w:r>
          </w:p>
        </w:tc>
      </w:tr>
      <w:tr w:rsidR="00157F17" w:rsidRPr="00840E13" w14:paraId="6303140A"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8C1E899"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6.     </w:t>
            </w:r>
          </w:p>
        </w:tc>
        <w:tc>
          <w:tcPr>
            <w:tcW w:w="1843" w:type="dxa"/>
            <w:hideMark/>
          </w:tcPr>
          <w:p w14:paraId="72051C3C"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RUBACO</w:t>
            </w:r>
          </w:p>
        </w:tc>
        <w:tc>
          <w:tcPr>
            <w:tcW w:w="1560" w:type="dxa"/>
            <w:hideMark/>
          </w:tcPr>
          <w:p w14:paraId="49190C2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60F50737"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15. </w:t>
            </w:r>
          </w:p>
        </w:tc>
        <w:tc>
          <w:tcPr>
            <w:tcW w:w="2126" w:type="dxa"/>
            <w:hideMark/>
          </w:tcPr>
          <w:p w14:paraId="3322C643"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MDDK</w:t>
            </w:r>
          </w:p>
        </w:tc>
        <w:tc>
          <w:tcPr>
            <w:tcW w:w="1843" w:type="dxa"/>
            <w:hideMark/>
          </w:tcPr>
          <w:p w14:paraId="581CC6C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r>
      <w:tr w:rsidR="00157F17" w:rsidRPr="00840E13" w14:paraId="3E6C9B6E"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0824A99D"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7.     </w:t>
            </w:r>
          </w:p>
        </w:tc>
        <w:tc>
          <w:tcPr>
            <w:tcW w:w="1843" w:type="dxa"/>
            <w:hideMark/>
          </w:tcPr>
          <w:p w14:paraId="018BA7AF"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KAMOA</w:t>
            </w:r>
          </w:p>
        </w:tc>
        <w:tc>
          <w:tcPr>
            <w:tcW w:w="1560" w:type="dxa"/>
            <w:hideMark/>
          </w:tcPr>
          <w:p w14:paraId="65AC882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26F097D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16. </w:t>
            </w:r>
          </w:p>
        </w:tc>
        <w:tc>
          <w:tcPr>
            <w:tcW w:w="2126" w:type="dxa"/>
            <w:hideMark/>
          </w:tcPr>
          <w:p w14:paraId="76FCE2B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KINSEVERE M. R</w:t>
            </w:r>
          </w:p>
        </w:tc>
        <w:tc>
          <w:tcPr>
            <w:tcW w:w="1843" w:type="dxa"/>
            <w:hideMark/>
          </w:tcPr>
          <w:p w14:paraId="5E92BD1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702F7EA1"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793ABC4"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8.     </w:t>
            </w:r>
          </w:p>
        </w:tc>
        <w:tc>
          <w:tcPr>
            <w:tcW w:w="1843" w:type="dxa"/>
            <w:hideMark/>
          </w:tcPr>
          <w:p w14:paraId="2731721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KICO</w:t>
            </w:r>
          </w:p>
        </w:tc>
        <w:tc>
          <w:tcPr>
            <w:tcW w:w="1560" w:type="dxa"/>
            <w:hideMark/>
          </w:tcPr>
          <w:p w14:paraId="2EF3C2A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c>
          <w:tcPr>
            <w:tcW w:w="708" w:type="dxa"/>
            <w:hideMark/>
          </w:tcPr>
          <w:p w14:paraId="587FBE7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17. </w:t>
            </w:r>
          </w:p>
        </w:tc>
        <w:tc>
          <w:tcPr>
            <w:tcW w:w="2126" w:type="dxa"/>
            <w:hideMark/>
          </w:tcPr>
          <w:p w14:paraId="37BA9261"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IVANHOE Mi</w:t>
            </w:r>
          </w:p>
        </w:tc>
        <w:tc>
          <w:tcPr>
            <w:tcW w:w="1843" w:type="dxa"/>
            <w:hideMark/>
          </w:tcPr>
          <w:p w14:paraId="0B8E6118"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r w:rsidR="00157F17" w:rsidRPr="00840E13" w14:paraId="44F0E142" w14:textId="77777777" w:rsidTr="00400A0D">
        <w:trPr>
          <w:trHeight w:val="372"/>
        </w:trPr>
        <w:tc>
          <w:tcPr>
            <w:cnfStyle w:val="001000000000" w:firstRow="0" w:lastRow="0" w:firstColumn="1" w:lastColumn="0" w:oddVBand="0" w:evenVBand="0" w:oddHBand="0" w:evenHBand="0" w:firstRowFirstColumn="0" w:firstRowLastColumn="0" w:lastRowFirstColumn="0" w:lastRowLastColumn="0"/>
            <w:tcW w:w="709" w:type="dxa"/>
            <w:hideMark/>
          </w:tcPr>
          <w:p w14:paraId="6919C712" w14:textId="77777777" w:rsidR="00157F17" w:rsidRPr="00840E13" w:rsidRDefault="00157F17" w:rsidP="00E4464E">
            <w:pPr>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9.     </w:t>
            </w:r>
          </w:p>
        </w:tc>
        <w:tc>
          <w:tcPr>
            <w:tcW w:w="1843" w:type="dxa"/>
            <w:hideMark/>
          </w:tcPr>
          <w:p w14:paraId="1CF6DCA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KATANGA METAL</w:t>
            </w:r>
          </w:p>
        </w:tc>
        <w:tc>
          <w:tcPr>
            <w:tcW w:w="1560" w:type="dxa"/>
            <w:hideMark/>
          </w:tcPr>
          <w:p w14:paraId="457AACDB"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Lualaba</w:t>
            </w:r>
          </w:p>
        </w:tc>
        <w:tc>
          <w:tcPr>
            <w:tcW w:w="708" w:type="dxa"/>
            <w:hideMark/>
          </w:tcPr>
          <w:p w14:paraId="0E46396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8"/>
                <w:szCs w:val="18"/>
                <w:lang w:eastAsia="fr-FR"/>
              </w:rPr>
            </w:pPr>
            <w:r w:rsidRPr="00840E13">
              <w:rPr>
                <w:rFonts w:ascii="Times New Roman" w:eastAsia="Times New Roman" w:hAnsi="Times New Roman"/>
                <w:b/>
                <w:color w:val="000000"/>
                <w:sz w:val="18"/>
                <w:szCs w:val="18"/>
                <w:lang w:eastAsia="fr-FR"/>
              </w:rPr>
              <w:t>18. </w:t>
            </w:r>
          </w:p>
        </w:tc>
        <w:tc>
          <w:tcPr>
            <w:tcW w:w="2126" w:type="dxa"/>
            <w:hideMark/>
          </w:tcPr>
          <w:p w14:paraId="371426B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SASE MINING</w:t>
            </w:r>
          </w:p>
        </w:tc>
        <w:tc>
          <w:tcPr>
            <w:tcW w:w="1843" w:type="dxa"/>
            <w:hideMark/>
          </w:tcPr>
          <w:p w14:paraId="1B1D0FB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840E13">
              <w:rPr>
                <w:rFonts w:ascii="Times New Roman" w:eastAsia="Times New Roman" w:hAnsi="Times New Roman"/>
                <w:color w:val="000000"/>
                <w:sz w:val="18"/>
                <w:szCs w:val="18"/>
                <w:lang w:eastAsia="fr-FR"/>
              </w:rPr>
              <w:t>Haut Katanga</w:t>
            </w:r>
          </w:p>
        </w:tc>
      </w:tr>
    </w:tbl>
    <w:p w14:paraId="67FE6B87" w14:textId="77777777" w:rsidR="00157F17" w:rsidRDefault="00157F17" w:rsidP="00157F17">
      <w:pPr>
        <w:jc w:val="both"/>
        <w:rPr>
          <w:rFonts w:ascii="Times New Roman" w:hAnsi="Times New Roman"/>
          <w:sz w:val="28"/>
          <w:szCs w:val="28"/>
        </w:rPr>
      </w:pPr>
    </w:p>
    <w:p w14:paraId="26700FFB" w14:textId="77777777" w:rsidR="00553F42" w:rsidRDefault="00553F42">
      <w:pPr>
        <w:rPr>
          <w:rFonts w:ascii="Times New Roman" w:hAnsi="Times New Roman"/>
          <w:sz w:val="28"/>
          <w:szCs w:val="28"/>
        </w:rPr>
      </w:pPr>
      <w:r>
        <w:rPr>
          <w:rFonts w:ascii="Times New Roman" w:hAnsi="Times New Roman"/>
          <w:sz w:val="28"/>
          <w:szCs w:val="28"/>
        </w:rPr>
        <w:br w:type="page"/>
      </w:r>
    </w:p>
    <w:p w14:paraId="3421E647" w14:textId="20DBB33C" w:rsidR="00157F17" w:rsidRPr="00BF6861" w:rsidRDefault="00157F17" w:rsidP="00157F17">
      <w:pPr>
        <w:pStyle w:val="Titre2"/>
        <w:ind w:left="567"/>
        <w:rPr>
          <w:rFonts w:ascii="Times New Roman" w:hAnsi="Times New Roman" w:cs="Times New Roman"/>
          <w:sz w:val="24"/>
          <w:szCs w:val="24"/>
        </w:rPr>
      </w:pPr>
      <w:bookmarkStart w:id="154" w:name="_Toc516047999"/>
      <w:bookmarkStart w:id="155" w:name="_Toc518468087"/>
      <w:r>
        <w:rPr>
          <w:rFonts w:ascii="Times New Roman" w:hAnsi="Times New Roman" w:cs="Times New Roman"/>
          <w:sz w:val="24"/>
          <w:szCs w:val="24"/>
        </w:rPr>
        <w:lastRenderedPageBreak/>
        <w:t>V</w:t>
      </w:r>
      <w:r w:rsidR="000668F9">
        <w:rPr>
          <w:rFonts w:ascii="Times New Roman" w:hAnsi="Times New Roman" w:cs="Times New Roman"/>
          <w:sz w:val="24"/>
          <w:szCs w:val="24"/>
        </w:rPr>
        <w:t>I</w:t>
      </w:r>
      <w:r>
        <w:rPr>
          <w:rFonts w:ascii="Times New Roman" w:hAnsi="Times New Roman" w:cs="Times New Roman"/>
          <w:sz w:val="24"/>
          <w:szCs w:val="24"/>
        </w:rPr>
        <w:t xml:space="preserve">.3. </w:t>
      </w:r>
      <w:r w:rsidR="00C16598" w:rsidRPr="00BF6861">
        <w:rPr>
          <w:rFonts w:ascii="Times New Roman" w:hAnsi="Times New Roman" w:cs="Times New Roman"/>
          <w:caps w:val="0"/>
          <w:sz w:val="24"/>
          <w:szCs w:val="24"/>
        </w:rPr>
        <w:t>La production et les exportations du secteur extractif</w:t>
      </w:r>
      <w:bookmarkEnd w:id="154"/>
      <w:bookmarkEnd w:id="155"/>
    </w:p>
    <w:p w14:paraId="7CF50B0C" w14:textId="77777777" w:rsidR="00157F17" w:rsidRPr="00840E13" w:rsidRDefault="00157F17" w:rsidP="00157F17">
      <w:pPr>
        <w:ind w:left="567"/>
        <w:jc w:val="both"/>
        <w:rPr>
          <w:rFonts w:ascii="Times New Roman" w:eastAsiaTheme="minorHAnsi" w:hAnsi="Times New Roman"/>
          <w:sz w:val="24"/>
          <w:szCs w:val="24"/>
        </w:rPr>
      </w:pPr>
      <w:r w:rsidRPr="00840E13">
        <w:rPr>
          <w:rFonts w:ascii="Times New Roman" w:eastAsiaTheme="minorHAnsi" w:hAnsi="Times New Roman"/>
          <w:sz w:val="24"/>
          <w:szCs w:val="24"/>
        </w:rPr>
        <w:t xml:space="preserve">La divulgation des informations liées à la production et aux exportations permet aux parties prenantes d’évaluer la contribution du secteur extractif à la formation du PIB et de comprendre comment sont générés les revenus de l’Etat issus des recettes des exportations réalisées par les entreprises </w:t>
      </w:r>
    </w:p>
    <w:p w14:paraId="5FB5D394" w14:textId="77777777" w:rsidR="00157F17" w:rsidRPr="00840E13" w:rsidRDefault="00157F17" w:rsidP="00157F17">
      <w:pPr>
        <w:spacing w:after="0"/>
        <w:ind w:left="851"/>
        <w:rPr>
          <w:rStyle w:val="Titre3Car"/>
          <w:rFonts w:ascii="Times New Roman" w:hAnsi="Times New Roman"/>
          <w:sz w:val="24"/>
          <w:szCs w:val="24"/>
        </w:rPr>
      </w:pPr>
      <w:bookmarkStart w:id="156" w:name="_Toc516048000"/>
      <w:bookmarkStart w:id="157" w:name="_Toc518468088"/>
      <w:r>
        <w:rPr>
          <w:rStyle w:val="Titre3Car"/>
          <w:rFonts w:ascii="Times New Roman" w:hAnsi="Times New Roman"/>
          <w:sz w:val="24"/>
        </w:rPr>
        <w:t xml:space="preserve">3.1. </w:t>
      </w:r>
      <w:r w:rsidRPr="00840E13">
        <w:rPr>
          <w:rStyle w:val="Titre3Car"/>
          <w:rFonts w:ascii="Times New Roman" w:hAnsi="Times New Roman"/>
          <w:sz w:val="24"/>
        </w:rPr>
        <w:t xml:space="preserve"> </w:t>
      </w:r>
      <w:r w:rsidRPr="00840E13">
        <w:rPr>
          <w:rStyle w:val="Titre3Car"/>
          <w:rFonts w:ascii="Times New Roman" w:hAnsi="Times New Roman"/>
          <w:sz w:val="24"/>
          <w:szCs w:val="24"/>
        </w:rPr>
        <w:t>Secteur des Hydrocarbures</w:t>
      </w:r>
      <w:bookmarkEnd w:id="156"/>
      <w:bookmarkEnd w:id="157"/>
    </w:p>
    <w:p w14:paraId="5D82B74B" w14:textId="77777777" w:rsidR="00157F17" w:rsidRPr="00840E13" w:rsidRDefault="00157F17" w:rsidP="00157F17">
      <w:pPr>
        <w:autoSpaceDE w:val="0"/>
        <w:autoSpaceDN w:val="0"/>
        <w:adjustRightInd w:val="0"/>
        <w:spacing w:after="0"/>
        <w:ind w:left="851"/>
        <w:rPr>
          <w:rFonts w:ascii="Times New Roman" w:eastAsiaTheme="minorHAnsi" w:hAnsi="Times New Roman"/>
          <w:bCs/>
          <w:color w:val="000000"/>
          <w:szCs w:val="20"/>
        </w:rPr>
      </w:pPr>
    </w:p>
    <w:p w14:paraId="7ABEB2FA" w14:textId="77777777" w:rsidR="00157F17" w:rsidRPr="00B7713F" w:rsidRDefault="00157F17" w:rsidP="00157F17">
      <w:pPr>
        <w:autoSpaceDE w:val="0"/>
        <w:autoSpaceDN w:val="0"/>
        <w:adjustRightInd w:val="0"/>
        <w:spacing w:after="0"/>
        <w:ind w:left="851"/>
        <w:jc w:val="both"/>
        <w:rPr>
          <w:rFonts w:ascii="Times New Roman" w:eastAsiaTheme="minorHAnsi" w:hAnsi="Times New Roman"/>
          <w:color w:val="000000"/>
          <w:szCs w:val="20"/>
        </w:rPr>
      </w:pPr>
      <w:r w:rsidRPr="00840E13">
        <w:rPr>
          <w:rFonts w:ascii="Times New Roman" w:eastAsiaTheme="minorHAnsi" w:hAnsi="Times New Roman"/>
          <w:color w:val="000000"/>
          <w:szCs w:val="20"/>
        </w:rPr>
        <w:t>Dans le cadre de l’élaboration du présent rapport, le Comité Exécutif a décidé de concilier les données sur la production et les exportations déclarées par les entreprises pétrolières avec celles déclarées par le Secrétariat Général des Hydrocarbures (SGH).</w:t>
      </w:r>
    </w:p>
    <w:p w14:paraId="00E50EE5" w14:textId="77777777" w:rsidR="00157F17" w:rsidRPr="00840E13" w:rsidRDefault="00157F17" w:rsidP="00157F17">
      <w:pPr>
        <w:pStyle w:val="Titre4"/>
        <w:ind w:left="851"/>
        <w:rPr>
          <w:rFonts w:ascii="Times New Roman" w:eastAsiaTheme="minorHAnsi" w:hAnsi="Times New Roman" w:cs="Times New Roman"/>
          <w:bCs/>
        </w:rPr>
      </w:pPr>
      <w:r w:rsidRPr="00840E13">
        <w:rPr>
          <w:rFonts w:ascii="Times New Roman" w:eastAsiaTheme="minorHAnsi" w:hAnsi="Times New Roman" w:cs="Times New Roman"/>
        </w:rPr>
        <w:t xml:space="preserve">a) Production </w:t>
      </w:r>
    </w:p>
    <w:p w14:paraId="6E791439" w14:textId="77777777" w:rsidR="00157F17" w:rsidRPr="00840E13" w:rsidRDefault="00157F17" w:rsidP="00157F17">
      <w:pPr>
        <w:spacing w:after="0"/>
        <w:ind w:left="851"/>
        <w:jc w:val="both"/>
        <w:rPr>
          <w:rFonts w:ascii="Times New Roman" w:hAnsi="Times New Roman"/>
          <w:b/>
          <w:color w:val="323E4F" w:themeColor="text2" w:themeShade="BF"/>
        </w:rPr>
      </w:pPr>
      <w:r>
        <w:rPr>
          <w:rFonts w:ascii="Times New Roman" w:eastAsiaTheme="minorHAnsi" w:hAnsi="Times New Roman"/>
          <w:color w:val="000000"/>
          <w:szCs w:val="24"/>
        </w:rPr>
        <w:t xml:space="preserve">Les données sur  la </w:t>
      </w:r>
      <w:r w:rsidRPr="00840E13">
        <w:rPr>
          <w:rFonts w:ascii="Times New Roman" w:eastAsiaTheme="minorHAnsi" w:hAnsi="Times New Roman"/>
          <w:color w:val="000000"/>
          <w:szCs w:val="24"/>
        </w:rPr>
        <w:t xml:space="preserve"> production déclarées par les entreprises rapprochées avec celles fournies par le SGH sont résumées dans le tableau suivant </w:t>
      </w:r>
      <w:r w:rsidRPr="00840E13">
        <w:rPr>
          <w:rFonts w:ascii="Times New Roman" w:eastAsiaTheme="minorHAnsi" w:hAnsi="Times New Roman"/>
          <w:color w:val="000000"/>
          <w:szCs w:val="20"/>
        </w:rPr>
        <w:t>:</w:t>
      </w:r>
    </w:p>
    <w:p w14:paraId="3609AEEB" w14:textId="77777777" w:rsidR="00157F17" w:rsidRPr="00840E13" w:rsidRDefault="00157F17" w:rsidP="00157F17">
      <w:pPr>
        <w:spacing w:after="0"/>
        <w:rPr>
          <w:rFonts w:ascii="Times New Roman" w:hAnsi="Times New Roman"/>
          <w:b/>
          <w:color w:val="323E4F" w:themeColor="text2" w:themeShade="BF"/>
        </w:rPr>
      </w:pPr>
    </w:p>
    <w:tbl>
      <w:tblPr>
        <w:tblStyle w:val="TableauGrille1Clair1"/>
        <w:tblW w:w="3165" w:type="pct"/>
        <w:tblInd w:w="846" w:type="dxa"/>
        <w:tblLook w:val="04A0" w:firstRow="1" w:lastRow="0" w:firstColumn="1" w:lastColumn="0" w:noHBand="0" w:noVBand="1"/>
      </w:tblPr>
      <w:tblGrid>
        <w:gridCol w:w="1658"/>
        <w:gridCol w:w="2313"/>
        <w:gridCol w:w="2125"/>
      </w:tblGrid>
      <w:tr w:rsidR="00495B53" w:rsidRPr="00002ED3" w14:paraId="47D6FE96" w14:textId="77777777" w:rsidTr="00002E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9" w:type="pct"/>
            <w:vMerge w:val="restart"/>
            <w:vAlign w:val="center"/>
            <w:hideMark/>
          </w:tcPr>
          <w:p w14:paraId="2C883514" w14:textId="77777777" w:rsidR="00157F17" w:rsidRPr="00002ED3" w:rsidRDefault="00157F17" w:rsidP="00002ED3">
            <w:pPr>
              <w:jc w:val="center"/>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Production</w:t>
            </w:r>
          </w:p>
        </w:tc>
        <w:tc>
          <w:tcPr>
            <w:tcW w:w="1897" w:type="pct"/>
            <w:vAlign w:val="center"/>
            <w:hideMark/>
          </w:tcPr>
          <w:p w14:paraId="00691397"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Entreprises</w:t>
            </w:r>
          </w:p>
        </w:tc>
        <w:tc>
          <w:tcPr>
            <w:tcW w:w="1743" w:type="pct"/>
            <w:vAlign w:val="center"/>
          </w:tcPr>
          <w:p w14:paraId="5A213ABB"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en-GB"/>
              </w:rPr>
            </w:pPr>
            <w:r w:rsidRPr="00002ED3">
              <w:rPr>
                <w:rFonts w:ascii="Times New Roman" w:hAnsi="Times New Roman"/>
                <w:color w:val="404040" w:themeColor="text1" w:themeTint="BF"/>
                <w:sz w:val="16"/>
                <w:szCs w:val="16"/>
                <w:lang w:eastAsia="en-GB"/>
              </w:rPr>
              <w:t>SGH</w:t>
            </w:r>
          </w:p>
        </w:tc>
      </w:tr>
      <w:tr w:rsidR="00157F17" w:rsidRPr="00840E13" w14:paraId="54825E6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vMerge/>
            <w:hideMark/>
          </w:tcPr>
          <w:p w14:paraId="1DF1A2E0" w14:textId="77777777" w:rsidR="00157F17" w:rsidRPr="00840E13" w:rsidRDefault="00157F17" w:rsidP="00E4464E">
            <w:pPr>
              <w:rPr>
                <w:rFonts w:ascii="Times New Roman" w:hAnsi="Times New Roman"/>
                <w:b w:val="0"/>
                <w:color w:val="FFFFFF"/>
                <w:sz w:val="16"/>
                <w:szCs w:val="16"/>
                <w:lang w:eastAsia="en-GB"/>
              </w:rPr>
            </w:pPr>
          </w:p>
        </w:tc>
        <w:tc>
          <w:tcPr>
            <w:tcW w:w="1897" w:type="pct"/>
            <w:hideMark/>
          </w:tcPr>
          <w:p w14:paraId="5A0231CE"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en-GB"/>
              </w:rPr>
            </w:pPr>
            <w:r w:rsidRPr="00495B53">
              <w:rPr>
                <w:rFonts w:ascii="Times New Roman" w:hAnsi="Times New Roman"/>
                <w:b/>
                <w:color w:val="404040" w:themeColor="text1" w:themeTint="BF"/>
                <w:sz w:val="16"/>
                <w:szCs w:val="16"/>
                <w:lang w:eastAsia="en-GB"/>
              </w:rPr>
              <w:t>Qté (bbl)</w:t>
            </w:r>
          </w:p>
        </w:tc>
        <w:tc>
          <w:tcPr>
            <w:tcW w:w="1743" w:type="pct"/>
            <w:hideMark/>
          </w:tcPr>
          <w:p w14:paraId="213DA226" w14:textId="77777777" w:rsidR="00157F17" w:rsidRPr="00495B53" w:rsidRDefault="00157F17" w:rsidP="00E4464E">
            <w:pPr>
              <w:ind w:hanging="1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en-GB"/>
              </w:rPr>
            </w:pPr>
            <w:r w:rsidRPr="00495B53">
              <w:rPr>
                <w:rFonts w:ascii="Times New Roman" w:hAnsi="Times New Roman"/>
                <w:b/>
                <w:color w:val="404040" w:themeColor="text1" w:themeTint="BF"/>
                <w:sz w:val="16"/>
                <w:szCs w:val="16"/>
                <w:lang w:eastAsia="en-GB"/>
              </w:rPr>
              <w:t>Qté (bbl)</w:t>
            </w:r>
          </w:p>
        </w:tc>
      </w:tr>
      <w:tr w:rsidR="00157F17" w:rsidRPr="00840E13" w14:paraId="11DD129E" w14:textId="77777777" w:rsidTr="00495B53">
        <w:trPr>
          <w:trHeight w:val="300"/>
        </w:trPr>
        <w:tc>
          <w:tcPr>
            <w:cnfStyle w:val="001000000000" w:firstRow="0" w:lastRow="0" w:firstColumn="1" w:lastColumn="0" w:oddVBand="0" w:evenVBand="0" w:oddHBand="0" w:evenHBand="0" w:firstRowFirstColumn="0" w:firstRowLastColumn="0" w:lastRowFirstColumn="0" w:lastRowLastColumn="0"/>
            <w:tcW w:w="1359" w:type="pct"/>
          </w:tcPr>
          <w:p w14:paraId="286B6929"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 xml:space="preserve">MIOC </w:t>
            </w:r>
          </w:p>
        </w:tc>
        <w:tc>
          <w:tcPr>
            <w:tcW w:w="1897" w:type="pct"/>
          </w:tcPr>
          <w:p w14:paraId="3BAE0D0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2 317 116  </w:t>
            </w:r>
          </w:p>
        </w:tc>
        <w:tc>
          <w:tcPr>
            <w:tcW w:w="1743" w:type="pct"/>
          </w:tcPr>
          <w:p w14:paraId="1F36BC2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2 317 116  </w:t>
            </w:r>
          </w:p>
        </w:tc>
      </w:tr>
      <w:tr w:rsidR="00157F17" w:rsidRPr="00840E13" w14:paraId="2FF9D6C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tcPr>
          <w:p w14:paraId="691FE0D5"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PERENCOREP</w:t>
            </w:r>
          </w:p>
        </w:tc>
        <w:tc>
          <w:tcPr>
            <w:tcW w:w="1897" w:type="pct"/>
          </w:tcPr>
          <w:p w14:paraId="0701366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1 746 993   </w:t>
            </w:r>
          </w:p>
        </w:tc>
        <w:tc>
          <w:tcPr>
            <w:tcW w:w="1743" w:type="pct"/>
          </w:tcPr>
          <w:p w14:paraId="548FE96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1 746 993   </w:t>
            </w:r>
          </w:p>
        </w:tc>
      </w:tr>
      <w:tr w:rsidR="00157F17" w:rsidRPr="00840E13" w14:paraId="58D50E1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359" w:type="pct"/>
          </w:tcPr>
          <w:p w14:paraId="1EB27421"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TEIKOKU</w:t>
            </w:r>
          </w:p>
        </w:tc>
        <w:tc>
          <w:tcPr>
            <w:tcW w:w="1897" w:type="pct"/>
          </w:tcPr>
          <w:p w14:paraId="3F1DE0EB"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1 495 930   </w:t>
            </w:r>
          </w:p>
        </w:tc>
        <w:tc>
          <w:tcPr>
            <w:tcW w:w="1743" w:type="pct"/>
          </w:tcPr>
          <w:p w14:paraId="784A636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1 495 930   </w:t>
            </w:r>
          </w:p>
        </w:tc>
      </w:tr>
      <w:tr w:rsidR="00157F17" w:rsidRPr="00840E13" w14:paraId="0B370116" w14:textId="77777777" w:rsidTr="00495B53">
        <w:trPr>
          <w:trHeight w:val="450"/>
        </w:trPr>
        <w:tc>
          <w:tcPr>
            <w:cnfStyle w:val="001000000000" w:firstRow="0" w:lastRow="0" w:firstColumn="1" w:lastColumn="0" w:oddVBand="0" w:evenVBand="0" w:oddHBand="0" w:evenHBand="0" w:firstRowFirstColumn="0" w:firstRowLastColumn="0" w:lastRowFirstColumn="0" w:lastRowLastColumn="0"/>
            <w:tcW w:w="1359" w:type="pct"/>
          </w:tcPr>
          <w:p w14:paraId="008A328B" w14:textId="77777777" w:rsidR="00157F17" w:rsidRPr="00840E13" w:rsidRDefault="00157F17" w:rsidP="00E4464E">
            <w:pPr>
              <w:rPr>
                <w:rFonts w:ascii="Times New Roman" w:hAnsi="Times New Roman"/>
                <w:bCs w:val="0"/>
                <w:color w:val="000000"/>
                <w:sz w:val="16"/>
                <w:szCs w:val="16"/>
                <w:lang w:eastAsia="fr-FR"/>
              </w:rPr>
            </w:pPr>
            <w:r w:rsidRPr="00840E13">
              <w:rPr>
                <w:rFonts w:ascii="Times New Roman" w:hAnsi="Times New Roman"/>
                <w:color w:val="000000"/>
                <w:sz w:val="16"/>
                <w:szCs w:val="16"/>
                <w:lang w:val="en-GB" w:eastAsia="fr-FR"/>
              </w:rPr>
              <w:t>LIREX</w:t>
            </w:r>
          </w:p>
        </w:tc>
        <w:tc>
          <w:tcPr>
            <w:tcW w:w="1897" w:type="pct"/>
          </w:tcPr>
          <w:p w14:paraId="50C1BC1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1 455 825   </w:t>
            </w:r>
          </w:p>
        </w:tc>
        <w:tc>
          <w:tcPr>
            <w:tcW w:w="1743" w:type="pct"/>
          </w:tcPr>
          <w:p w14:paraId="33597DA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val="en-GB" w:eastAsia="fr-FR"/>
              </w:rPr>
              <w:t xml:space="preserve">       1 455 825   </w:t>
            </w:r>
          </w:p>
        </w:tc>
      </w:tr>
      <w:tr w:rsidR="00157F17" w:rsidRPr="00840E13" w14:paraId="2FC6C605" w14:textId="77777777" w:rsidTr="00495B53">
        <w:trPr>
          <w:trHeight w:val="300"/>
        </w:trPr>
        <w:tc>
          <w:tcPr>
            <w:cnfStyle w:val="001000000000" w:firstRow="0" w:lastRow="0" w:firstColumn="1" w:lastColumn="0" w:oddVBand="0" w:evenVBand="0" w:oddHBand="0" w:evenHBand="0" w:firstRowFirstColumn="0" w:firstRowLastColumn="0" w:lastRowFirstColumn="0" w:lastRowLastColumn="0"/>
            <w:tcW w:w="1359" w:type="pct"/>
            <w:hideMark/>
          </w:tcPr>
          <w:p w14:paraId="5831550D" w14:textId="77777777" w:rsidR="00157F17" w:rsidRPr="00840E13" w:rsidRDefault="00157F17" w:rsidP="00E4464E">
            <w:pPr>
              <w:rPr>
                <w:rFonts w:ascii="Times New Roman" w:hAnsi="Times New Roman"/>
                <w:b w:val="0"/>
                <w:color w:val="000000"/>
                <w:sz w:val="16"/>
                <w:szCs w:val="16"/>
                <w:lang w:val="en-GB" w:eastAsia="en-GB"/>
              </w:rPr>
            </w:pPr>
            <w:r w:rsidRPr="00840E13">
              <w:rPr>
                <w:rFonts w:ascii="Times New Roman" w:hAnsi="Times New Roman"/>
                <w:b w:val="0"/>
                <w:color w:val="000000"/>
                <w:sz w:val="16"/>
                <w:szCs w:val="16"/>
                <w:lang w:val="en-GB" w:eastAsia="en-GB"/>
              </w:rPr>
              <w:t>Total</w:t>
            </w:r>
          </w:p>
        </w:tc>
        <w:tc>
          <w:tcPr>
            <w:tcW w:w="1897" w:type="pct"/>
          </w:tcPr>
          <w:p w14:paraId="7798A61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16"/>
                <w:szCs w:val="16"/>
                <w:lang w:val="en-GB" w:eastAsia="en-GB"/>
              </w:rPr>
            </w:pPr>
            <w:r w:rsidRPr="00840E13">
              <w:rPr>
                <w:rFonts w:ascii="Times New Roman" w:hAnsi="Times New Roman"/>
                <w:b/>
                <w:color w:val="000000"/>
                <w:sz w:val="16"/>
                <w:szCs w:val="16"/>
                <w:lang w:eastAsia="fr-FR"/>
              </w:rPr>
              <w:t>7 015 864</w:t>
            </w:r>
          </w:p>
        </w:tc>
        <w:tc>
          <w:tcPr>
            <w:tcW w:w="1743" w:type="pct"/>
          </w:tcPr>
          <w:p w14:paraId="3627CBEB"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16"/>
                <w:szCs w:val="16"/>
                <w:lang w:eastAsia="fr-FR"/>
              </w:rPr>
            </w:pPr>
            <w:r w:rsidRPr="00840E13">
              <w:rPr>
                <w:rFonts w:ascii="Times New Roman" w:hAnsi="Times New Roman"/>
                <w:b/>
                <w:color w:val="000000"/>
                <w:sz w:val="16"/>
                <w:szCs w:val="16"/>
                <w:lang w:eastAsia="fr-FR"/>
              </w:rPr>
              <w:t>7 015 864</w:t>
            </w:r>
          </w:p>
        </w:tc>
      </w:tr>
    </w:tbl>
    <w:p w14:paraId="77A78AE0" w14:textId="77777777" w:rsidR="00157F17" w:rsidRPr="00840E13" w:rsidRDefault="00157F17" w:rsidP="00157F17">
      <w:pPr>
        <w:spacing w:after="0"/>
        <w:rPr>
          <w:rFonts w:ascii="Times New Roman" w:hAnsi="Times New Roman"/>
          <w:color w:val="FF0000"/>
        </w:rPr>
      </w:pPr>
    </w:p>
    <w:p w14:paraId="7187A424" w14:textId="77777777" w:rsidR="00157F17" w:rsidRPr="00840E13" w:rsidRDefault="00157F17" w:rsidP="00157F17">
      <w:pPr>
        <w:pStyle w:val="Titre4"/>
        <w:ind w:left="851"/>
        <w:rPr>
          <w:rFonts w:ascii="Times New Roman" w:eastAsiaTheme="minorHAnsi" w:hAnsi="Times New Roman" w:cs="Times New Roman"/>
          <w:bCs/>
          <w:color w:val="000000"/>
          <w:szCs w:val="20"/>
        </w:rPr>
      </w:pPr>
      <w:r w:rsidRPr="00840E13">
        <w:rPr>
          <w:rFonts w:ascii="Times New Roman" w:eastAsiaTheme="minorHAnsi" w:hAnsi="Times New Roman" w:cs="Times New Roman"/>
        </w:rPr>
        <w:t xml:space="preserve">b) Exportation </w:t>
      </w:r>
    </w:p>
    <w:p w14:paraId="7BB0E126" w14:textId="77777777" w:rsidR="00157F17" w:rsidRPr="00840E13" w:rsidRDefault="00157F17" w:rsidP="00157F17">
      <w:pPr>
        <w:spacing w:after="0"/>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Le rapprochement des données sur les </w:t>
      </w:r>
      <w:r w:rsidRPr="00840E13">
        <w:rPr>
          <w:rFonts w:ascii="Times New Roman" w:eastAsiaTheme="minorHAnsi" w:hAnsi="Times New Roman"/>
          <w:color w:val="000000"/>
          <w:sz w:val="24"/>
          <w:szCs w:val="24"/>
        </w:rPr>
        <w:t xml:space="preserve"> exportations déclarées</w:t>
      </w:r>
      <w:r>
        <w:rPr>
          <w:rFonts w:ascii="Times New Roman" w:eastAsiaTheme="minorHAnsi" w:hAnsi="Times New Roman"/>
          <w:color w:val="000000"/>
          <w:sz w:val="24"/>
          <w:szCs w:val="24"/>
        </w:rPr>
        <w:t xml:space="preserve"> par les entreprises</w:t>
      </w:r>
      <w:r w:rsidRPr="00840E13">
        <w:rPr>
          <w:rFonts w:ascii="Times New Roman" w:eastAsiaTheme="minorHAnsi" w:hAnsi="Times New Roman"/>
          <w:color w:val="000000"/>
          <w:sz w:val="24"/>
          <w:szCs w:val="24"/>
        </w:rPr>
        <w:t xml:space="preserve"> avec</w:t>
      </w:r>
      <w:r>
        <w:rPr>
          <w:rFonts w:ascii="Times New Roman" w:eastAsiaTheme="minorHAnsi" w:hAnsi="Times New Roman"/>
          <w:color w:val="000000"/>
          <w:sz w:val="24"/>
          <w:szCs w:val="24"/>
        </w:rPr>
        <w:t xml:space="preserve"> celles fournies par le SGH est  contenu dans le tableau ci-après</w:t>
      </w:r>
      <w:r w:rsidRPr="00840E13">
        <w:rPr>
          <w:rFonts w:ascii="Times New Roman" w:eastAsiaTheme="minorHAnsi" w:hAnsi="Times New Roman"/>
          <w:color w:val="000000"/>
          <w:sz w:val="24"/>
          <w:szCs w:val="24"/>
        </w:rPr>
        <w:t> :</w:t>
      </w:r>
    </w:p>
    <w:p w14:paraId="4BBA7A8C" w14:textId="77777777" w:rsidR="00157F17" w:rsidRPr="00840E13" w:rsidRDefault="00157F17" w:rsidP="00157F17">
      <w:pPr>
        <w:spacing w:after="0"/>
        <w:ind w:left="426"/>
        <w:rPr>
          <w:rFonts w:ascii="Times New Roman" w:hAnsi="Times New Roman"/>
          <w:b/>
          <w:color w:val="323E4F" w:themeColor="text2" w:themeShade="BF"/>
        </w:rPr>
      </w:pPr>
    </w:p>
    <w:tbl>
      <w:tblPr>
        <w:tblStyle w:val="TableauGrille1Clair1"/>
        <w:tblW w:w="6682" w:type="dxa"/>
        <w:tblInd w:w="846" w:type="dxa"/>
        <w:tblLook w:val="04A0" w:firstRow="1" w:lastRow="0" w:firstColumn="1" w:lastColumn="0" w:noHBand="0" w:noVBand="1"/>
      </w:tblPr>
      <w:tblGrid>
        <w:gridCol w:w="1842"/>
        <w:gridCol w:w="1240"/>
        <w:gridCol w:w="1200"/>
        <w:gridCol w:w="1200"/>
        <w:gridCol w:w="1200"/>
      </w:tblGrid>
      <w:tr w:rsidR="00495B53" w:rsidRPr="00002ED3" w14:paraId="07809C5D" w14:textId="77777777" w:rsidTr="00002E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2" w:type="dxa"/>
            <w:vMerge w:val="restart"/>
            <w:vAlign w:val="center"/>
            <w:hideMark/>
          </w:tcPr>
          <w:p w14:paraId="4BFC1D8F" w14:textId="77777777" w:rsidR="00157F17" w:rsidRPr="00002ED3" w:rsidRDefault="00157F17" w:rsidP="00002ED3">
            <w:pPr>
              <w:jc w:val="center"/>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Exportation</w:t>
            </w:r>
          </w:p>
        </w:tc>
        <w:tc>
          <w:tcPr>
            <w:tcW w:w="2440" w:type="dxa"/>
            <w:gridSpan w:val="2"/>
            <w:vAlign w:val="center"/>
            <w:hideMark/>
          </w:tcPr>
          <w:p w14:paraId="2206C27B"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Société</w:t>
            </w:r>
          </w:p>
        </w:tc>
        <w:tc>
          <w:tcPr>
            <w:tcW w:w="2400" w:type="dxa"/>
            <w:gridSpan w:val="2"/>
            <w:vAlign w:val="center"/>
            <w:hideMark/>
          </w:tcPr>
          <w:p w14:paraId="785F9FC1" w14:textId="77777777" w:rsidR="00157F17" w:rsidRPr="00002ED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04040" w:themeColor="text1" w:themeTint="BF"/>
                <w:sz w:val="16"/>
                <w:szCs w:val="16"/>
                <w:lang w:eastAsia="fr-FR"/>
              </w:rPr>
            </w:pPr>
            <w:r w:rsidRPr="00002ED3">
              <w:rPr>
                <w:rFonts w:ascii="Times New Roman" w:hAnsi="Times New Roman"/>
                <w:color w:val="404040" w:themeColor="text1" w:themeTint="BF"/>
                <w:sz w:val="16"/>
                <w:szCs w:val="16"/>
                <w:lang w:eastAsia="en-GB"/>
              </w:rPr>
              <w:t>SGH</w:t>
            </w:r>
          </w:p>
        </w:tc>
      </w:tr>
      <w:tr w:rsidR="00495B53" w:rsidRPr="00495B53" w14:paraId="0ACE364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vMerge/>
            <w:hideMark/>
          </w:tcPr>
          <w:p w14:paraId="6BFB48F7" w14:textId="77777777" w:rsidR="00157F17" w:rsidRPr="00495B53" w:rsidRDefault="00157F17" w:rsidP="00E4464E">
            <w:pPr>
              <w:rPr>
                <w:rFonts w:ascii="Times New Roman" w:hAnsi="Times New Roman"/>
                <w:b w:val="0"/>
                <w:color w:val="404040" w:themeColor="text1" w:themeTint="BF"/>
                <w:sz w:val="16"/>
                <w:szCs w:val="16"/>
                <w:lang w:eastAsia="fr-FR"/>
              </w:rPr>
            </w:pPr>
          </w:p>
        </w:tc>
        <w:tc>
          <w:tcPr>
            <w:tcW w:w="1240" w:type="dxa"/>
            <w:hideMark/>
          </w:tcPr>
          <w:p w14:paraId="222B19E1"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Qté (bbl)</w:t>
            </w:r>
          </w:p>
        </w:tc>
        <w:tc>
          <w:tcPr>
            <w:tcW w:w="1200" w:type="dxa"/>
            <w:hideMark/>
          </w:tcPr>
          <w:p w14:paraId="6A8C80D0"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Valeur (USD)</w:t>
            </w:r>
          </w:p>
        </w:tc>
        <w:tc>
          <w:tcPr>
            <w:tcW w:w="1200" w:type="dxa"/>
            <w:hideMark/>
          </w:tcPr>
          <w:p w14:paraId="2B368E9F"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Qté (bbl)</w:t>
            </w:r>
          </w:p>
        </w:tc>
        <w:tc>
          <w:tcPr>
            <w:tcW w:w="1200" w:type="dxa"/>
            <w:hideMark/>
          </w:tcPr>
          <w:p w14:paraId="670A222E" w14:textId="77777777" w:rsidR="00157F17" w:rsidRPr="00495B53" w:rsidRDefault="00157F17" w:rsidP="00E446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Valeur (USD)</w:t>
            </w:r>
          </w:p>
        </w:tc>
      </w:tr>
      <w:tr w:rsidR="00495B53" w:rsidRPr="00495B53" w14:paraId="2A54FB5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2405D78E"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 xml:space="preserve">MIOC </w:t>
            </w:r>
          </w:p>
        </w:tc>
        <w:tc>
          <w:tcPr>
            <w:tcW w:w="1240" w:type="dxa"/>
            <w:hideMark/>
          </w:tcPr>
          <w:p w14:paraId="0F2B232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2 345 225   </w:t>
            </w:r>
          </w:p>
        </w:tc>
        <w:tc>
          <w:tcPr>
            <w:tcW w:w="1200" w:type="dxa"/>
            <w:hideMark/>
          </w:tcPr>
          <w:p w14:paraId="04F13EDB"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56 931 530   </w:t>
            </w:r>
          </w:p>
        </w:tc>
        <w:tc>
          <w:tcPr>
            <w:tcW w:w="1200" w:type="dxa"/>
            <w:hideMark/>
          </w:tcPr>
          <w:p w14:paraId="3605124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2 345 225   </w:t>
            </w:r>
          </w:p>
        </w:tc>
        <w:tc>
          <w:tcPr>
            <w:tcW w:w="1200" w:type="dxa"/>
            <w:hideMark/>
          </w:tcPr>
          <w:p w14:paraId="7B9BFD6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56 931 530   </w:t>
            </w:r>
          </w:p>
        </w:tc>
      </w:tr>
      <w:tr w:rsidR="00495B53" w:rsidRPr="00495B53" w14:paraId="65195D9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93ADE99"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PERENCOREP</w:t>
            </w:r>
          </w:p>
        </w:tc>
        <w:tc>
          <w:tcPr>
            <w:tcW w:w="1240" w:type="dxa"/>
            <w:hideMark/>
          </w:tcPr>
          <w:p w14:paraId="027A4A9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1 813 000   </w:t>
            </w:r>
          </w:p>
        </w:tc>
        <w:tc>
          <w:tcPr>
            <w:tcW w:w="1200" w:type="dxa"/>
            <w:hideMark/>
          </w:tcPr>
          <w:p w14:paraId="288BF60B"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90 225 943   </w:t>
            </w:r>
          </w:p>
        </w:tc>
        <w:tc>
          <w:tcPr>
            <w:tcW w:w="1200" w:type="dxa"/>
            <w:hideMark/>
          </w:tcPr>
          <w:p w14:paraId="1C6ADB84"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1 813 000   </w:t>
            </w:r>
          </w:p>
        </w:tc>
        <w:tc>
          <w:tcPr>
            <w:tcW w:w="1200" w:type="dxa"/>
            <w:hideMark/>
          </w:tcPr>
          <w:p w14:paraId="4A74276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90 225 943   </w:t>
            </w:r>
          </w:p>
        </w:tc>
      </w:tr>
      <w:tr w:rsidR="00495B53" w:rsidRPr="00495B53" w14:paraId="1262439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92806EE"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TEIKOKU</w:t>
            </w:r>
          </w:p>
        </w:tc>
        <w:tc>
          <w:tcPr>
            <w:tcW w:w="1240" w:type="dxa"/>
            <w:hideMark/>
          </w:tcPr>
          <w:p w14:paraId="2F9E9E38"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1 515 000   </w:t>
            </w:r>
          </w:p>
        </w:tc>
        <w:tc>
          <w:tcPr>
            <w:tcW w:w="1200" w:type="dxa"/>
            <w:hideMark/>
          </w:tcPr>
          <w:p w14:paraId="7328A84D"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68 375 324   </w:t>
            </w:r>
          </w:p>
        </w:tc>
        <w:tc>
          <w:tcPr>
            <w:tcW w:w="1200" w:type="dxa"/>
            <w:hideMark/>
          </w:tcPr>
          <w:p w14:paraId="79CD89A1"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1 515 000   </w:t>
            </w:r>
          </w:p>
        </w:tc>
        <w:tc>
          <w:tcPr>
            <w:tcW w:w="1200" w:type="dxa"/>
            <w:hideMark/>
          </w:tcPr>
          <w:p w14:paraId="5D25E8D6"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68 375 324   </w:t>
            </w:r>
          </w:p>
        </w:tc>
      </w:tr>
      <w:tr w:rsidR="00495B53" w:rsidRPr="00495B53" w14:paraId="2D14C2DA"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5EC8D120" w14:textId="77777777" w:rsidR="00157F17" w:rsidRPr="00495B53" w:rsidRDefault="00157F17" w:rsidP="00E4464E">
            <w:pPr>
              <w:rPr>
                <w:rFonts w:ascii="Times New Roman" w:hAnsi="Times New Roman"/>
                <w:bCs w:val="0"/>
                <w:color w:val="404040" w:themeColor="text1" w:themeTint="BF"/>
                <w:sz w:val="16"/>
                <w:szCs w:val="16"/>
                <w:lang w:eastAsia="fr-FR"/>
              </w:rPr>
            </w:pPr>
            <w:r w:rsidRPr="00495B53">
              <w:rPr>
                <w:rFonts w:ascii="Times New Roman" w:hAnsi="Times New Roman"/>
                <w:color w:val="404040" w:themeColor="text1" w:themeTint="BF"/>
                <w:sz w:val="16"/>
                <w:szCs w:val="16"/>
                <w:lang w:val="en-GB" w:eastAsia="fr-FR"/>
              </w:rPr>
              <w:t>LIREX</w:t>
            </w:r>
          </w:p>
        </w:tc>
        <w:tc>
          <w:tcPr>
            <w:tcW w:w="1240" w:type="dxa"/>
            <w:hideMark/>
          </w:tcPr>
          <w:p w14:paraId="590B9276"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1 510 000   </w:t>
            </w:r>
          </w:p>
        </w:tc>
        <w:tc>
          <w:tcPr>
            <w:tcW w:w="1200" w:type="dxa"/>
            <w:hideMark/>
          </w:tcPr>
          <w:p w14:paraId="2BFEB0E7"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58 328 650   </w:t>
            </w:r>
          </w:p>
        </w:tc>
        <w:tc>
          <w:tcPr>
            <w:tcW w:w="1200" w:type="dxa"/>
            <w:hideMark/>
          </w:tcPr>
          <w:p w14:paraId="64D5674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1 510 000   </w:t>
            </w:r>
          </w:p>
        </w:tc>
        <w:tc>
          <w:tcPr>
            <w:tcW w:w="1200" w:type="dxa"/>
            <w:hideMark/>
          </w:tcPr>
          <w:p w14:paraId="69E90FEC"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404040" w:themeColor="text1" w:themeTint="BF"/>
                <w:sz w:val="16"/>
                <w:szCs w:val="16"/>
                <w:lang w:eastAsia="fr-FR"/>
              </w:rPr>
            </w:pPr>
            <w:r w:rsidRPr="00495B53">
              <w:rPr>
                <w:rFonts w:ascii="Times New Roman" w:hAnsi="Times New Roman"/>
                <w:color w:val="404040" w:themeColor="text1" w:themeTint="BF"/>
                <w:sz w:val="16"/>
                <w:szCs w:val="16"/>
                <w:lang w:eastAsia="fr-FR"/>
              </w:rPr>
              <w:t xml:space="preserve">    58 328 650   </w:t>
            </w:r>
          </w:p>
        </w:tc>
      </w:tr>
      <w:tr w:rsidR="00495B53" w:rsidRPr="00495B53" w14:paraId="661152A5"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2" w:type="dxa"/>
            <w:hideMark/>
          </w:tcPr>
          <w:p w14:paraId="1083F12D" w14:textId="77777777" w:rsidR="00157F17" w:rsidRPr="00495B53" w:rsidRDefault="00157F17" w:rsidP="00E4464E">
            <w:pPr>
              <w:rPr>
                <w:rFonts w:ascii="Times New Roman" w:hAnsi="Times New Roman"/>
                <w:b w:val="0"/>
                <w:color w:val="404040" w:themeColor="text1" w:themeTint="BF"/>
                <w:sz w:val="16"/>
                <w:szCs w:val="16"/>
                <w:lang w:eastAsia="fr-FR"/>
              </w:rPr>
            </w:pPr>
            <w:r w:rsidRPr="00495B53">
              <w:rPr>
                <w:rFonts w:ascii="Times New Roman" w:hAnsi="Times New Roman"/>
                <w:b w:val="0"/>
                <w:color w:val="404040" w:themeColor="text1" w:themeTint="BF"/>
                <w:sz w:val="16"/>
                <w:szCs w:val="16"/>
                <w:lang w:eastAsia="en-GB"/>
              </w:rPr>
              <w:t>Total</w:t>
            </w:r>
          </w:p>
        </w:tc>
        <w:tc>
          <w:tcPr>
            <w:tcW w:w="1240" w:type="dxa"/>
            <w:hideMark/>
          </w:tcPr>
          <w:p w14:paraId="30C805DE"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 xml:space="preserve">      7 183 225   </w:t>
            </w:r>
          </w:p>
        </w:tc>
        <w:tc>
          <w:tcPr>
            <w:tcW w:w="1200" w:type="dxa"/>
            <w:hideMark/>
          </w:tcPr>
          <w:p w14:paraId="0495EA2C"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fr-FR"/>
              </w:rPr>
              <w:t xml:space="preserve">  273 861 447   </w:t>
            </w:r>
          </w:p>
        </w:tc>
        <w:tc>
          <w:tcPr>
            <w:tcW w:w="1200" w:type="dxa"/>
            <w:hideMark/>
          </w:tcPr>
          <w:p w14:paraId="06454945"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en-GB"/>
              </w:rPr>
              <w:t xml:space="preserve">      7 183 225   </w:t>
            </w:r>
          </w:p>
        </w:tc>
        <w:tc>
          <w:tcPr>
            <w:tcW w:w="1200" w:type="dxa"/>
            <w:hideMark/>
          </w:tcPr>
          <w:p w14:paraId="2B1880C8" w14:textId="77777777" w:rsidR="00157F17" w:rsidRPr="00495B5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04040" w:themeColor="text1" w:themeTint="BF"/>
                <w:sz w:val="16"/>
                <w:szCs w:val="16"/>
                <w:lang w:eastAsia="fr-FR"/>
              </w:rPr>
            </w:pPr>
            <w:r w:rsidRPr="00495B53">
              <w:rPr>
                <w:rFonts w:ascii="Times New Roman" w:hAnsi="Times New Roman"/>
                <w:b/>
                <w:color w:val="404040" w:themeColor="text1" w:themeTint="BF"/>
                <w:sz w:val="16"/>
                <w:szCs w:val="16"/>
                <w:lang w:eastAsia="fr-FR"/>
              </w:rPr>
              <w:t xml:space="preserve">  273 861 447   </w:t>
            </w:r>
          </w:p>
        </w:tc>
      </w:tr>
    </w:tbl>
    <w:p w14:paraId="419C638D" w14:textId="77777777" w:rsidR="00157F17" w:rsidRPr="00840E13" w:rsidRDefault="00157F17" w:rsidP="00157F17">
      <w:pPr>
        <w:spacing w:after="0"/>
        <w:rPr>
          <w:rFonts w:ascii="Times New Roman" w:hAnsi="Times New Roman"/>
          <w:color w:val="FF0000"/>
        </w:rPr>
      </w:pPr>
    </w:p>
    <w:p w14:paraId="27A3E95F" w14:textId="746094BA" w:rsidR="00157F17" w:rsidRPr="00840E13" w:rsidRDefault="003B49C0" w:rsidP="00157F17">
      <w:pPr>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Il est constaté</w:t>
      </w:r>
      <w:r w:rsidR="00157F17" w:rsidRPr="00840E13">
        <w:rPr>
          <w:rFonts w:ascii="Times New Roman" w:eastAsiaTheme="minorHAnsi" w:hAnsi="Times New Roman"/>
          <w:color w:val="000000"/>
          <w:sz w:val="24"/>
          <w:szCs w:val="24"/>
        </w:rPr>
        <w:t xml:space="preserve"> une identité des chiffre</w:t>
      </w:r>
      <w:r>
        <w:rPr>
          <w:rFonts w:ascii="Times New Roman" w:eastAsiaTheme="minorHAnsi" w:hAnsi="Times New Roman"/>
          <w:color w:val="000000"/>
          <w:sz w:val="24"/>
          <w:szCs w:val="24"/>
        </w:rPr>
        <w:t xml:space="preserve">s déclarés par les deux parties. </w:t>
      </w:r>
      <w:r w:rsidR="00157F17" w:rsidRPr="00840E13">
        <w:rPr>
          <w:rFonts w:ascii="Times New Roman" w:eastAsiaTheme="minorHAnsi" w:hAnsi="Times New Roman"/>
          <w:color w:val="000000"/>
          <w:sz w:val="24"/>
          <w:szCs w:val="24"/>
        </w:rPr>
        <w:t xml:space="preserve"> </w:t>
      </w:r>
      <w:r w:rsidRPr="00840E13">
        <w:rPr>
          <w:rFonts w:ascii="Times New Roman" w:eastAsiaTheme="minorHAnsi" w:hAnsi="Times New Roman"/>
          <w:color w:val="000000"/>
          <w:sz w:val="24"/>
          <w:szCs w:val="24"/>
        </w:rPr>
        <w:t>Cela</w:t>
      </w:r>
      <w:r w:rsidR="00157F17" w:rsidRPr="00840E13">
        <w:rPr>
          <w:rFonts w:ascii="Times New Roman" w:eastAsiaTheme="minorHAnsi" w:hAnsi="Times New Roman"/>
          <w:color w:val="000000"/>
          <w:sz w:val="24"/>
          <w:szCs w:val="24"/>
        </w:rPr>
        <w:t xml:space="preserve"> est dû au fait que les chiffres que le SGH déclare proviennent des entreprises</w:t>
      </w:r>
      <w:r>
        <w:rPr>
          <w:rFonts w:ascii="Times New Roman" w:eastAsiaTheme="minorHAnsi" w:hAnsi="Times New Roman"/>
          <w:color w:val="000000"/>
          <w:sz w:val="24"/>
          <w:szCs w:val="24"/>
        </w:rPr>
        <w:t>. Il n’a pas</w:t>
      </w:r>
      <w:r w:rsidR="00157F17" w:rsidRPr="00840E13">
        <w:rPr>
          <w:rFonts w:ascii="Times New Roman" w:eastAsiaTheme="minorHAnsi" w:hAnsi="Times New Roman"/>
          <w:color w:val="000000"/>
          <w:sz w:val="24"/>
          <w:szCs w:val="24"/>
        </w:rPr>
        <w:t xml:space="preserve"> la possibilité de les contrevérifier.</w:t>
      </w:r>
    </w:p>
    <w:p w14:paraId="563CB07C" w14:textId="77777777" w:rsidR="00157F17" w:rsidRPr="00840E13" w:rsidRDefault="00157F17" w:rsidP="00157F17">
      <w:pPr>
        <w:spacing w:after="0"/>
        <w:ind w:left="709"/>
        <w:jc w:val="both"/>
        <w:rPr>
          <w:rFonts w:ascii="Times New Roman" w:hAnsi="Times New Roman"/>
          <w:b/>
          <w:color w:val="323E4F" w:themeColor="text2" w:themeShade="BF"/>
          <w:sz w:val="24"/>
          <w:szCs w:val="24"/>
        </w:rPr>
      </w:pPr>
    </w:p>
    <w:p w14:paraId="714B701E" w14:textId="09051AA6" w:rsidR="00051E32" w:rsidRDefault="00157F17" w:rsidP="00157F17">
      <w:pPr>
        <w:spacing w:after="0"/>
        <w:ind w:left="709"/>
        <w:jc w:val="both"/>
        <w:rPr>
          <w:rFonts w:ascii="Times New Roman" w:hAnsi="Times New Roman"/>
          <w:color w:val="323E4F" w:themeColor="text2" w:themeShade="BF"/>
          <w:sz w:val="24"/>
          <w:szCs w:val="24"/>
        </w:rPr>
      </w:pPr>
      <w:r w:rsidRPr="003B49C0">
        <w:rPr>
          <w:rFonts w:ascii="Times New Roman" w:eastAsiaTheme="minorHAnsi" w:hAnsi="Times New Roman"/>
          <w:color w:val="000000"/>
          <w:sz w:val="24"/>
          <w:szCs w:val="24"/>
        </w:rPr>
        <w:t>En effet, seuls l’OCC et la DGDA sont présents aux points des exportations, et les statistiques qu’ils réalisent ne sont pas partagées avec le SGH. Aussi, le système fiscal congolais étant déclaratif, le SGH se contente des rapports mensuels que lui transmettent les entreprises pour alimenter sa base des données</w:t>
      </w:r>
      <w:r w:rsidRPr="00840E13">
        <w:rPr>
          <w:rFonts w:ascii="Times New Roman" w:hAnsi="Times New Roman"/>
          <w:color w:val="323E4F" w:themeColor="text2" w:themeShade="BF"/>
          <w:sz w:val="24"/>
          <w:szCs w:val="24"/>
        </w:rPr>
        <w:t>.</w:t>
      </w:r>
    </w:p>
    <w:p w14:paraId="099BBD5E" w14:textId="77777777" w:rsidR="00783E42" w:rsidRDefault="00783E42" w:rsidP="00157F17">
      <w:pPr>
        <w:spacing w:after="0"/>
        <w:ind w:left="709"/>
        <w:jc w:val="both"/>
        <w:rPr>
          <w:rFonts w:ascii="Times New Roman" w:hAnsi="Times New Roman"/>
          <w:color w:val="323E4F" w:themeColor="text2" w:themeShade="BF"/>
          <w:sz w:val="24"/>
          <w:szCs w:val="24"/>
        </w:rPr>
      </w:pPr>
    </w:p>
    <w:p w14:paraId="36BC654A" w14:textId="77777777" w:rsidR="00783E42" w:rsidRDefault="00783E42" w:rsidP="00157F17">
      <w:pPr>
        <w:spacing w:after="0"/>
        <w:ind w:left="709"/>
        <w:jc w:val="both"/>
        <w:rPr>
          <w:rFonts w:ascii="Times New Roman" w:hAnsi="Times New Roman"/>
          <w:color w:val="323E4F" w:themeColor="text2" w:themeShade="BF"/>
          <w:sz w:val="24"/>
          <w:szCs w:val="24"/>
        </w:rPr>
      </w:pPr>
    </w:p>
    <w:p w14:paraId="74868CD0" w14:textId="2917F85E" w:rsidR="00783E42" w:rsidRDefault="00783E42" w:rsidP="00157F17">
      <w:pPr>
        <w:spacing w:after="0"/>
        <w:ind w:left="709"/>
        <w:jc w:val="both"/>
        <w:rPr>
          <w:rFonts w:ascii="Times New Roman" w:hAnsi="Times New Roman"/>
          <w:color w:val="323E4F" w:themeColor="text2" w:themeShade="BF"/>
          <w:sz w:val="24"/>
          <w:szCs w:val="24"/>
        </w:rPr>
      </w:pPr>
      <w:r>
        <w:rPr>
          <w:noProof/>
          <w:lang w:eastAsia="fr-FR"/>
        </w:rPr>
        <w:lastRenderedPageBreak/>
        <mc:AlternateContent>
          <mc:Choice Requires="wps">
            <w:drawing>
              <wp:anchor distT="0" distB="0" distL="114300" distR="114300" simplePos="0" relativeHeight="251676672" behindDoc="0" locked="0" layoutInCell="1" allowOverlap="1" wp14:anchorId="179FFFAC" wp14:editId="13654E44">
                <wp:simplePos x="0" y="0"/>
                <wp:positionH relativeFrom="column">
                  <wp:posOffset>272838</wp:posOffset>
                </wp:positionH>
                <wp:positionV relativeFrom="paragraph">
                  <wp:posOffset>82127</wp:posOffset>
                </wp:positionV>
                <wp:extent cx="5567363" cy="1426633"/>
                <wp:effectExtent l="0" t="0" r="14605" b="21590"/>
                <wp:wrapNone/>
                <wp:docPr id="24" name="Zone de texte 24"/>
                <wp:cNvGraphicFramePr/>
                <a:graphic xmlns:a="http://schemas.openxmlformats.org/drawingml/2006/main">
                  <a:graphicData uri="http://schemas.microsoft.com/office/word/2010/wordprocessingShape">
                    <wps:wsp>
                      <wps:cNvSpPr txBox="1"/>
                      <wps:spPr>
                        <a:xfrm>
                          <a:off x="0" y="0"/>
                          <a:ext cx="5567363" cy="1426633"/>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8D50BF5" w14:textId="0893EAD6" w:rsidR="00553BF2" w:rsidRDefault="00553BF2" w:rsidP="00783E4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r w:rsidRPr="00656071">
                              <w:rPr>
                                <w:rFonts w:ascii="Times New Roman" w:hAnsi="Times New Roman"/>
                                <w:color w:val="FF0000"/>
                                <w:sz w:val="24"/>
                                <w:szCs w:val="24"/>
                              </w:rPr>
                              <w:t xml:space="preserve"> </w:t>
                            </w:r>
                          </w:p>
                          <w:p w14:paraId="5038B4B5" w14:textId="77777777" w:rsidR="00553BF2" w:rsidRPr="00051E32" w:rsidRDefault="00553BF2" w:rsidP="00783E4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2A796384" w14:textId="77777777" w:rsidR="00553BF2" w:rsidRPr="008C6D8D" w:rsidRDefault="00553BF2" w:rsidP="00783E42">
                            <w:pPr>
                              <w:pStyle w:val="Paragraphedeliste"/>
                              <w:ind w:left="0"/>
                              <w:jc w:val="both"/>
                              <w:rPr>
                                <w:rFonts w:ascii="Times New Roman" w:hAnsi="Times New Roman"/>
                                <w:color w:val="323E4F" w:themeColor="text2" w:themeShade="BF"/>
                                <w:sz w:val="24"/>
                                <w:szCs w:val="24"/>
                              </w:rPr>
                            </w:pPr>
                            <w:r w:rsidRPr="008C6D8D">
                              <w:rPr>
                                <w:rFonts w:ascii="Times New Roman" w:hAnsi="Times New Roman"/>
                                <w:color w:val="3B3838" w:themeColor="background2" w:themeShade="40"/>
                                <w:sz w:val="24"/>
                                <w:szCs w:val="24"/>
                              </w:rPr>
                              <w:t>veiller à ce que le SGH soit présent aux points des exportations pour avoir des éléments qui fondent d’une part l’exactitude de l’assiette fiscale et, d’autre part, l’assurance  de l’exhaustivité et de la fiabilité des données déclarées</w:t>
                            </w:r>
                            <w:r w:rsidRPr="008C6D8D">
                              <w:rPr>
                                <w:rFonts w:ascii="Times New Roman" w:hAnsi="Times New Roman"/>
                                <w:i/>
                                <w:color w:val="3B3838" w:themeColor="background2" w:themeShade="40"/>
                                <w:sz w:val="24"/>
                                <w:szCs w:val="24"/>
                              </w:rPr>
                              <w:t xml:space="preserve"> </w:t>
                            </w:r>
                            <w:r w:rsidRPr="00105074">
                              <w:rPr>
                                <w:rFonts w:ascii="Times New Roman" w:hAnsi="Times New Roman"/>
                                <w:color w:val="323E4F" w:themeColor="text2" w:themeShade="BF"/>
                                <w:sz w:val="24"/>
                                <w:szCs w:val="24"/>
                              </w:rPr>
                              <w:t>à</w:t>
                            </w:r>
                            <w:r w:rsidRPr="008C6D8D">
                              <w:rPr>
                                <w:rFonts w:ascii="Times New Roman" w:hAnsi="Times New Roman"/>
                                <w:i/>
                                <w:color w:val="323E4F" w:themeColor="text2" w:themeShade="BF"/>
                                <w:sz w:val="24"/>
                                <w:szCs w:val="24"/>
                              </w:rPr>
                              <w:t xml:space="preserve"> </w:t>
                            </w:r>
                            <w:r w:rsidRPr="008C6D8D">
                              <w:rPr>
                                <w:rFonts w:ascii="Times New Roman" w:hAnsi="Times New Roman"/>
                                <w:color w:val="323E4F" w:themeColor="text2" w:themeShade="BF"/>
                                <w:sz w:val="24"/>
                                <w:szCs w:val="24"/>
                              </w:rPr>
                              <w:t xml:space="preserve">l’ITIE, ce dernier </w:t>
                            </w:r>
                            <w:r w:rsidRPr="008C6D8D">
                              <w:rPr>
                                <w:rFonts w:ascii="Times New Roman" w:hAnsi="Times New Roman"/>
                                <w:color w:val="3B3838" w:themeColor="background2" w:themeShade="40"/>
                                <w:sz w:val="24"/>
                                <w:szCs w:val="24"/>
                              </w:rPr>
                              <w:t>étant un service d’assiette et représentant du Ministère de tutelle.</w:t>
                            </w:r>
                          </w:p>
                          <w:p w14:paraId="447F8F96" w14:textId="77777777" w:rsidR="00553BF2" w:rsidRPr="008C6D8D" w:rsidRDefault="00553BF2" w:rsidP="00783E42">
                            <w:pPr>
                              <w:pStyle w:val="Paragraphedeliste"/>
                              <w:numPr>
                                <w:ilvl w:val="0"/>
                                <w:numId w:val="60"/>
                              </w:numPr>
                              <w:spacing w:after="0"/>
                              <w:ind w:left="0"/>
                              <w:jc w:val="both"/>
                              <w:rPr>
                                <w:rFonts w:ascii="Times New Roman" w:hAnsi="Times New Roman"/>
                                <w:color w:val="323E4F" w:themeColor="text2" w:themeShade="BF"/>
                                <w:sz w:val="24"/>
                                <w:szCs w:val="24"/>
                              </w:rPr>
                            </w:pPr>
                          </w:p>
                          <w:p w14:paraId="6CB455F1" w14:textId="77777777" w:rsidR="00553BF2" w:rsidRDefault="00553BF2" w:rsidP="00783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9FFFAC" id="Zone de texte 24" o:spid="_x0000_s1031" type="#_x0000_t202" style="position:absolute;left:0;text-align:left;margin-left:21.5pt;margin-top:6.45pt;width:438.4pt;height:112.3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" fillcolor="#deeaf6 [660]" strokecolor="#deeaf6 [660]" strokeweight=".5pt">
                <v:textbox>
                  <w:txbxContent>
                    <w:p w14:paraId="68D50BF5" w14:textId="0893EAD6" w:rsidR="00553BF2" w:rsidRDefault="00553BF2" w:rsidP="00783E4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r w:rsidRPr="00656071">
                        <w:rPr>
                          <w:rFonts w:ascii="Times New Roman" w:hAnsi="Times New Roman"/>
                          <w:color w:val="FF0000"/>
                          <w:sz w:val="24"/>
                          <w:szCs w:val="24"/>
                        </w:rPr>
                        <w:t xml:space="preserve"> </w:t>
                      </w:r>
                    </w:p>
                    <w:p w14:paraId="5038B4B5" w14:textId="77777777" w:rsidR="00553BF2" w:rsidRPr="00051E32" w:rsidRDefault="00553BF2" w:rsidP="00783E4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2A796384" w14:textId="77777777" w:rsidR="00553BF2" w:rsidRPr="008C6D8D" w:rsidRDefault="00553BF2" w:rsidP="00783E42">
                      <w:pPr>
                        <w:pStyle w:val="Paragraphedeliste"/>
                        <w:ind w:left="0"/>
                        <w:jc w:val="both"/>
                        <w:rPr>
                          <w:rFonts w:ascii="Times New Roman" w:hAnsi="Times New Roman"/>
                          <w:color w:val="323E4F" w:themeColor="text2" w:themeShade="BF"/>
                          <w:sz w:val="24"/>
                          <w:szCs w:val="24"/>
                        </w:rPr>
                      </w:pPr>
                      <w:r w:rsidRPr="008C6D8D">
                        <w:rPr>
                          <w:rFonts w:ascii="Times New Roman" w:hAnsi="Times New Roman"/>
                          <w:color w:val="3B3838" w:themeColor="background2" w:themeShade="40"/>
                          <w:sz w:val="24"/>
                          <w:szCs w:val="24"/>
                        </w:rPr>
                        <w:t>veiller à ce que le SGH soit présent aux points des exportations pour avoir des éléments qui fondent d’une part l’exactitude de l’assiette fiscale et, d’autre part, l’assurance  de l’exhaustivité et de la fiabilité des données déclarées</w:t>
                      </w:r>
                      <w:r w:rsidRPr="008C6D8D">
                        <w:rPr>
                          <w:rFonts w:ascii="Times New Roman" w:hAnsi="Times New Roman"/>
                          <w:i/>
                          <w:color w:val="3B3838" w:themeColor="background2" w:themeShade="40"/>
                          <w:sz w:val="24"/>
                          <w:szCs w:val="24"/>
                        </w:rPr>
                        <w:t xml:space="preserve"> </w:t>
                      </w:r>
                      <w:r w:rsidRPr="00105074">
                        <w:rPr>
                          <w:rFonts w:ascii="Times New Roman" w:hAnsi="Times New Roman"/>
                          <w:color w:val="323E4F" w:themeColor="text2" w:themeShade="BF"/>
                          <w:sz w:val="24"/>
                          <w:szCs w:val="24"/>
                        </w:rPr>
                        <w:t>à</w:t>
                      </w:r>
                      <w:r w:rsidRPr="008C6D8D">
                        <w:rPr>
                          <w:rFonts w:ascii="Times New Roman" w:hAnsi="Times New Roman"/>
                          <w:i/>
                          <w:color w:val="323E4F" w:themeColor="text2" w:themeShade="BF"/>
                          <w:sz w:val="24"/>
                          <w:szCs w:val="24"/>
                        </w:rPr>
                        <w:t xml:space="preserve"> </w:t>
                      </w:r>
                      <w:r w:rsidRPr="008C6D8D">
                        <w:rPr>
                          <w:rFonts w:ascii="Times New Roman" w:hAnsi="Times New Roman"/>
                          <w:color w:val="323E4F" w:themeColor="text2" w:themeShade="BF"/>
                          <w:sz w:val="24"/>
                          <w:szCs w:val="24"/>
                        </w:rPr>
                        <w:t xml:space="preserve">l’ITIE, ce dernier </w:t>
                      </w:r>
                      <w:r w:rsidRPr="008C6D8D">
                        <w:rPr>
                          <w:rFonts w:ascii="Times New Roman" w:hAnsi="Times New Roman"/>
                          <w:color w:val="3B3838" w:themeColor="background2" w:themeShade="40"/>
                          <w:sz w:val="24"/>
                          <w:szCs w:val="24"/>
                        </w:rPr>
                        <w:t>étant un service d’assiette et représentant du Ministère de tutelle.</w:t>
                      </w:r>
                    </w:p>
                    <w:p w14:paraId="447F8F96" w14:textId="77777777" w:rsidR="00553BF2" w:rsidRPr="008C6D8D" w:rsidRDefault="00553BF2" w:rsidP="00783E42">
                      <w:pPr>
                        <w:pStyle w:val="Paragraphedeliste"/>
                        <w:numPr>
                          <w:ilvl w:val="0"/>
                          <w:numId w:val="60"/>
                        </w:numPr>
                        <w:spacing w:after="0"/>
                        <w:ind w:left="0"/>
                        <w:jc w:val="both"/>
                        <w:rPr>
                          <w:rFonts w:ascii="Times New Roman" w:hAnsi="Times New Roman"/>
                          <w:color w:val="323E4F" w:themeColor="text2" w:themeShade="BF"/>
                          <w:sz w:val="24"/>
                          <w:szCs w:val="24"/>
                        </w:rPr>
                      </w:pPr>
                    </w:p>
                    <w:p w14:paraId="6CB455F1" w14:textId="77777777" w:rsidR="00553BF2" w:rsidRDefault="00553BF2" w:rsidP="00783E42"/>
                  </w:txbxContent>
                </v:textbox>
              </v:shape>
            </w:pict>
          </mc:Fallback>
        </mc:AlternateContent>
      </w:r>
    </w:p>
    <w:p w14:paraId="30782F64" w14:textId="77777777" w:rsidR="00783E42" w:rsidRDefault="00783E42">
      <w:pPr>
        <w:rPr>
          <w:rFonts w:ascii="Times New Roman" w:hAnsi="Times New Roman"/>
          <w:color w:val="323E4F" w:themeColor="text2" w:themeShade="BF"/>
          <w:sz w:val="24"/>
          <w:szCs w:val="24"/>
        </w:rPr>
      </w:pPr>
    </w:p>
    <w:p w14:paraId="0DBEDB02" w14:textId="77777777" w:rsidR="00783E42" w:rsidRDefault="00783E42">
      <w:pPr>
        <w:rPr>
          <w:rFonts w:ascii="Times New Roman" w:hAnsi="Times New Roman"/>
          <w:color w:val="323E4F" w:themeColor="text2" w:themeShade="BF"/>
          <w:sz w:val="24"/>
          <w:szCs w:val="24"/>
        </w:rPr>
      </w:pPr>
    </w:p>
    <w:p w14:paraId="6DE4A0BC" w14:textId="77777777" w:rsidR="00783E42" w:rsidRDefault="00783E42">
      <w:pPr>
        <w:rPr>
          <w:rFonts w:ascii="Times New Roman" w:hAnsi="Times New Roman"/>
          <w:color w:val="323E4F" w:themeColor="text2" w:themeShade="BF"/>
          <w:sz w:val="24"/>
          <w:szCs w:val="24"/>
        </w:rPr>
      </w:pPr>
    </w:p>
    <w:p w14:paraId="76F7314C" w14:textId="77777777" w:rsidR="00783E42" w:rsidRDefault="00783E42">
      <w:pPr>
        <w:rPr>
          <w:rFonts w:ascii="Times New Roman" w:hAnsi="Times New Roman"/>
          <w:color w:val="323E4F" w:themeColor="text2" w:themeShade="BF"/>
          <w:sz w:val="24"/>
          <w:szCs w:val="24"/>
        </w:rPr>
      </w:pPr>
    </w:p>
    <w:p w14:paraId="042B2B1F" w14:textId="77777777" w:rsidR="00783E42" w:rsidRDefault="00783E42">
      <w:pPr>
        <w:rPr>
          <w:rFonts w:ascii="Times New Roman" w:hAnsi="Times New Roman"/>
          <w:color w:val="323E4F" w:themeColor="text2" w:themeShade="BF"/>
          <w:sz w:val="24"/>
          <w:szCs w:val="24"/>
        </w:rPr>
      </w:pPr>
    </w:p>
    <w:p w14:paraId="76191E64" w14:textId="77777777" w:rsidR="00157F17" w:rsidRPr="00840E13" w:rsidRDefault="00157F17" w:rsidP="00157F17">
      <w:pPr>
        <w:spacing w:after="0"/>
        <w:ind w:left="709"/>
        <w:jc w:val="both"/>
        <w:rPr>
          <w:rFonts w:ascii="Times New Roman" w:hAnsi="Times New Roman"/>
          <w:color w:val="323E4F" w:themeColor="text2" w:themeShade="BF"/>
          <w:sz w:val="24"/>
          <w:szCs w:val="24"/>
        </w:rPr>
      </w:pPr>
    </w:p>
    <w:p w14:paraId="35420788" w14:textId="77777777" w:rsidR="00157F17" w:rsidRPr="00840E13" w:rsidRDefault="00157F17" w:rsidP="00157F17">
      <w:pPr>
        <w:spacing w:after="0"/>
        <w:ind w:left="851"/>
        <w:rPr>
          <w:rStyle w:val="Titre3Car"/>
          <w:rFonts w:ascii="Times New Roman" w:hAnsi="Times New Roman"/>
          <w:sz w:val="24"/>
        </w:rPr>
      </w:pPr>
      <w:bookmarkStart w:id="158" w:name="_Toc516048001"/>
      <w:bookmarkStart w:id="159" w:name="_Toc518468089"/>
      <w:r>
        <w:rPr>
          <w:rStyle w:val="Titre3Car"/>
          <w:rFonts w:ascii="Times New Roman" w:hAnsi="Times New Roman"/>
          <w:sz w:val="24"/>
        </w:rPr>
        <w:t>3.</w:t>
      </w:r>
      <w:r w:rsidRPr="00840E13">
        <w:rPr>
          <w:rStyle w:val="Titre3Car"/>
          <w:rFonts w:ascii="Times New Roman" w:hAnsi="Times New Roman"/>
          <w:sz w:val="24"/>
        </w:rPr>
        <w:t>2. Secteur Minier</w:t>
      </w:r>
      <w:bookmarkEnd w:id="158"/>
      <w:bookmarkEnd w:id="159"/>
    </w:p>
    <w:p w14:paraId="4127B037" w14:textId="77777777" w:rsidR="00157F17" w:rsidRPr="00840E13" w:rsidRDefault="00157F17" w:rsidP="00157F17">
      <w:pPr>
        <w:spacing w:after="0"/>
        <w:rPr>
          <w:rFonts w:ascii="Times New Roman" w:hAnsi="Times New Roman"/>
          <w:b/>
          <w:color w:val="323E4F" w:themeColor="text2" w:themeShade="BF"/>
        </w:rPr>
      </w:pPr>
    </w:p>
    <w:p w14:paraId="2AA01695" w14:textId="77777777" w:rsidR="00157F17" w:rsidRPr="00026C6E" w:rsidRDefault="00157F17" w:rsidP="00157F17">
      <w:pPr>
        <w:ind w:left="851"/>
        <w:rPr>
          <w:rFonts w:ascii="Times New Roman" w:hAnsi="Times New Roman"/>
          <w:i/>
          <w:sz w:val="24"/>
          <w:szCs w:val="24"/>
        </w:rPr>
      </w:pPr>
      <w:r w:rsidRPr="00026C6E">
        <w:rPr>
          <w:rFonts w:ascii="Times New Roman" w:hAnsi="Times New Roman"/>
          <w:i/>
          <w:color w:val="2E74B5" w:themeColor="accent1" w:themeShade="BF"/>
          <w:sz w:val="24"/>
          <w:szCs w:val="24"/>
        </w:rPr>
        <w:t>Pour les données sur la production :</w:t>
      </w:r>
      <w:r w:rsidRPr="00026C6E">
        <w:rPr>
          <w:rFonts w:ascii="Times New Roman" w:hAnsi="Times New Roman"/>
          <w:i/>
          <w:sz w:val="24"/>
          <w:szCs w:val="24"/>
        </w:rPr>
        <w:t xml:space="preserve"> </w:t>
      </w:r>
    </w:p>
    <w:p w14:paraId="5A8F1B7B" w14:textId="7ECFC3E6" w:rsidR="00157F17" w:rsidRPr="00840E13" w:rsidRDefault="00157F17" w:rsidP="00157F17">
      <w:pPr>
        <w:spacing w:after="0"/>
        <w:ind w:left="851"/>
        <w:rPr>
          <w:rFonts w:ascii="Times New Roman" w:hAnsi="Times New Roman"/>
          <w:bCs/>
          <w:sz w:val="24"/>
          <w:szCs w:val="24"/>
          <w:lang w:eastAsia="fr-FR"/>
        </w:rPr>
      </w:pPr>
      <w:r w:rsidRPr="00840E13">
        <w:rPr>
          <w:rFonts w:ascii="Times New Roman" w:hAnsi="Times New Roman"/>
          <w:bCs/>
          <w:sz w:val="24"/>
          <w:szCs w:val="24"/>
          <w:lang w:eastAsia="fr-FR"/>
        </w:rPr>
        <w:t>Les données condensées par matière fournies par le Ministère de Mine</w:t>
      </w:r>
      <w:r w:rsidR="003B49C0">
        <w:rPr>
          <w:rFonts w:ascii="Times New Roman" w:hAnsi="Times New Roman"/>
          <w:bCs/>
          <w:sz w:val="24"/>
          <w:szCs w:val="24"/>
          <w:lang w:eastAsia="fr-FR"/>
        </w:rPr>
        <w:t>s</w:t>
      </w:r>
      <w:r w:rsidRPr="00840E13">
        <w:rPr>
          <w:rFonts w:ascii="Times New Roman" w:hAnsi="Times New Roman"/>
          <w:bCs/>
          <w:sz w:val="24"/>
          <w:szCs w:val="24"/>
          <w:lang w:eastAsia="fr-FR"/>
        </w:rPr>
        <w:t xml:space="preserve"> sont présentées ci-après :</w:t>
      </w:r>
    </w:p>
    <w:p w14:paraId="3F1E3738" w14:textId="77777777" w:rsidR="00157F17" w:rsidRPr="00840E13" w:rsidRDefault="00157F17" w:rsidP="00157F17">
      <w:pPr>
        <w:spacing w:after="0"/>
        <w:ind w:left="426"/>
        <w:rPr>
          <w:rFonts w:ascii="Times New Roman" w:hAnsi="Times New Roman"/>
          <w:bCs/>
          <w:sz w:val="24"/>
          <w:szCs w:val="24"/>
          <w:lang w:eastAsia="fr-FR"/>
        </w:rPr>
      </w:pPr>
    </w:p>
    <w:tbl>
      <w:tblPr>
        <w:tblStyle w:val="TableauGrille1Clair1"/>
        <w:tblW w:w="8558" w:type="dxa"/>
        <w:tblInd w:w="562" w:type="dxa"/>
        <w:tblLook w:val="04A0" w:firstRow="1" w:lastRow="0" w:firstColumn="1" w:lastColumn="0" w:noHBand="0" w:noVBand="1"/>
      </w:tblPr>
      <w:tblGrid>
        <w:gridCol w:w="2127"/>
        <w:gridCol w:w="1417"/>
        <w:gridCol w:w="1693"/>
        <w:gridCol w:w="1897"/>
        <w:gridCol w:w="1424"/>
      </w:tblGrid>
      <w:tr w:rsidR="00157F17" w:rsidRPr="00840E13" w14:paraId="7AE04A41" w14:textId="77777777" w:rsidTr="00002ED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127" w:type="dxa"/>
            <w:vMerge w:val="restart"/>
            <w:vAlign w:val="center"/>
            <w:hideMark/>
          </w:tcPr>
          <w:p w14:paraId="05392AA7" w14:textId="77777777" w:rsidR="00157F17" w:rsidRPr="00840E13" w:rsidRDefault="00157F17" w:rsidP="00002ED3">
            <w:pPr>
              <w:jc w:val="center"/>
              <w:rPr>
                <w:rFonts w:ascii="Times New Roman" w:hAnsi="Times New Roman"/>
                <w:sz w:val="16"/>
                <w:szCs w:val="16"/>
                <w:lang w:eastAsia="fr-FR"/>
              </w:rPr>
            </w:pPr>
            <w:r w:rsidRPr="00840E13">
              <w:rPr>
                <w:rFonts w:ascii="Times New Roman" w:hAnsi="Times New Roman"/>
                <w:sz w:val="16"/>
                <w:szCs w:val="16"/>
                <w:lang w:eastAsia="fr-FR"/>
              </w:rPr>
              <w:t>Produit</w:t>
            </w:r>
          </w:p>
        </w:tc>
        <w:tc>
          <w:tcPr>
            <w:tcW w:w="1417" w:type="dxa"/>
            <w:vMerge w:val="restart"/>
            <w:vAlign w:val="center"/>
            <w:hideMark/>
          </w:tcPr>
          <w:p w14:paraId="7D25EAD5" w14:textId="77777777" w:rsidR="00157F17" w:rsidRPr="00840E1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Unité</w:t>
            </w:r>
          </w:p>
        </w:tc>
        <w:tc>
          <w:tcPr>
            <w:tcW w:w="5014" w:type="dxa"/>
            <w:gridSpan w:val="3"/>
            <w:vAlign w:val="center"/>
            <w:hideMark/>
          </w:tcPr>
          <w:p w14:paraId="32AEE6FD" w14:textId="77777777" w:rsidR="00157F17" w:rsidRPr="00840E13" w:rsidRDefault="00157F17"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Production</w:t>
            </w:r>
          </w:p>
        </w:tc>
      </w:tr>
      <w:tr w:rsidR="00157F17" w:rsidRPr="00840E13" w14:paraId="600DA349" w14:textId="77777777" w:rsidTr="00002ED3">
        <w:trPr>
          <w:trHeight w:val="371"/>
        </w:trPr>
        <w:tc>
          <w:tcPr>
            <w:cnfStyle w:val="001000000000" w:firstRow="0" w:lastRow="0" w:firstColumn="1" w:lastColumn="0" w:oddVBand="0" w:evenVBand="0" w:oddHBand="0" w:evenHBand="0" w:firstRowFirstColumn="0" w:firstRowLastColumn="0" w:lastRowFirstColumn="0" w:lastRowLastColumn="0"/>
            <w:tcW w:w="2127" w:type="dxa"/>
            <w:vMerge/>
            <w:vAlign w:val="center"/>
            <w:hideMark/>
          </w:tcPr>
          <w:p w14:paraId="098D915C" w14:textId="77777777" w:rsidR="00157F17" w:rsidRPr="00840E13" w:rsidRDefault="00157F17" w:rsidP="00002ED3">
            <w:pPr>
              <w:jc w:val="center"/>
              <w:rPr>
                <w:rFonts w:ascii="Times New Roman" w:hAnsi="Times New Roman"/>
                <w:color w:val="FFFFFF"/>
                <w:sz w:val="16"/>
                <w:szCs w:val="16"/>
                <w:lang w:eastAsia="fr-FR"/>
              </w:rPr>
            </w:pPr>
          </w:p>
        </w:tc>
        <w:tc>
          <w:tcPr>
            <w:tcW w:w="1417" w:type="dxa"/>
            <w:vMerge/>
            <w:vAlign w:val="center"/>
            <w:hideMark/>
          </w:tcPr>
          <w:p w14:paraId="170E1FB6"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FFFF"/>
                <w:sz w:val="16"/>
                <w:szCs w:val="16"/>
                <w:lang w:eastAsia="fr-FR"/>
              </w:rPr>
            </w:pPr>
          </w:p>
        </w:tc>
        <w:tc>
          <w:tcPr>
            <w:tcW w:w="1693" w:type="dxa"/>
            <w:vAlign w:val="center"/>
            <w:hideMark/>
          </w:tcPr>
          <w:p w14:paraId="13E33FD1"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2015</w:t>
            </w:r>
          </w:p>
        </w:tc>
        <w:tc>
          <w:tcPr>
            <w:tcW w:w="1897" w:type="dxa"/>
            <w:vAlign w:val="center"/>
            <w:hideMark/>
          </w:tcPr>
          <w:p w14:paraId="1013FF55"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2016</w:t>
            </w:r>
          </w:p>
        </w:tc>
        <w:tc>
          <w:tcPr>
            <w:tcW w:w="1424" w:type="dxa"/>
            <w:vAlign w:val="center"/>
            <w:hideMark/>
          </w:tcPr>
          <w:p w14:paraId="6A372184" w14:textId="77777777" w:rsidR="00157F17" w:rsidRPr="00840E13" w:rsidRDefault="00157F17"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Variation</w:t>
            </w:r>
          </w:p>
        </w:tc>
      </w:tr>
      <w:tr w:rsidR="00157F17" w:rsidRPr="00840E13" w14:paraId="3A80835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63E1BAA"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Cuivre</w:t>
            </w:r>
          </w:p>
        </w:tc>
        <w:tc>
          <w:tcPr>
            <w:tcW w:w="1417" w:type="dxa"/>
            <w:noWrap/>
            <w:hideMark/>
          </w:tcPr>
          <w:p w14:paraId="17B7EAB4"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05B3B9B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1 069 038</w:t>
            </w:r>
          </w:p>
        </w:tc>
        <w:tc>
          <w:tcPr>
            <w:tcW w:w="1897" w:type="dxa"/>
            <w:noWrap/>
            <w:hideMark/>
          </w:tcPr>
          <w:p w14:paraId="5AE9199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1 035 631</w:t>
            </w:r>
          </w:p>
        </w:tc>
        <w:tc>
          <w:tcPr>
            <w:tcW w:w="1424" w:type="dxa"/>
            <w:noWrap/>
            <w:hideMark/>
          </w:tcPr>
          <w:p w14:paraId="3B86B95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-3,23% </w:t>
            </w:r>
          </w:p>
        </w:tc>
      </w:tr>
      <w:tr w:rsidR="00157F17" w:rsidRPr="00840E13" w14:paraId="1183A837"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F3B6071"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Cobalt</w:t>
            </w:r>
          </w:p>
        </w:tc>
        <w:tc>
          <w:tcPr>
            <w:tcW w:w="1417" w:type="dxa"/>
            <w:noWrap/>
            <w:hideMark/>
          </w:tcPr>
          <w:p w14:paraId="53EFC5F6"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308A526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84 400</w:t>
            </w:r>
          </w:p>
        </w:tc>
        <w:tc>
          <w:tcPr>
            <w:tcW w:w="1897" w:type="dxa"/>
            <w:noWrap/>
            <w:hideMark/>
          </w:tcPr>
          <w:p w14:paraId="4587D95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69 038</w:t>
            </w:r>
          </w:p>
        </w:tc>
        <w:tc>
          <w:tcPr>
            <w:tcW w:w="1424" w:type="dxa"/>
            <w:noWrap/>
            <w:hideMark/>
          </w:tcPr>
          <w:p w14:paraId="07A9A09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18% </w:t>
            </w:r>
          </w:p>
        </w:tc>
      </w:tr>
      <w:tr w:rsidR="00157F17" w:rsidRPr="00840E13" w14:paraId="56BFABCB" w14:textId="77777777" w:rsidTr="00495B53">
        <w:trPr>
          <w:trHeight w:val="373"/>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2D8FF28"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Zinc (métal contenu)</w:t>
            </w:r>
          </w:p>
        </w:tc>
        <w:tc>
          <w:tcPr>
            <w:tcW w:w="1417" w:type="dxa"/>
            <w:noWrap/>
            <w:hideMark/>
          </w:tcPr>
          <w:p w14:paraId="59C14559"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668E3A6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12 675</w:t>
            </w:r>
          </w:p>
        </w:tc>
        <w:tc>
          <w:tcPr>
            <w:tcW w:w="1897" w:type="dxa"/>
            <w:noWrap/>
            <w:hideMark/>
          </w:tcPr>
          <w:p w14:paraId="7964694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12 587</w:t>
            </w:r>
          </w:p>
        </w:tc>
        <w:tc>
          <w:tcPr>
            <w:tcW w:w="1424" w:type="dxa"/>
            <w:noWrap/>
            <w:hideMark/>
          </w:tcPr>
          <w:p w14:paraId="1C28728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-0,69% </w:t>
            </w:r>
          </w:p>
        </w:tc>
      </w:tr>
      <w:tr w:rsidR="00157F17" w:rsidRPr="00840E13" w14:paraId="4475789E" w14:textId="77777777" w:rsidTr="00495B53">
        <w:trPr>
          <w:trHeight w:val="304"/>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22E6E67"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Plomb (contenu)</w:t>
            </w:r>
          </w:p>
        </w:tc>
        <w:tc>
          <w:tcPr>
            <w:tcW w:w="1417" w:type="dxa"/>
            <w:noWrap/>
            <w:hideMark/>
          </w:tcPr>
          <w:p w14:paraId="1A4E2F3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4476745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653</w:t>
            </w:r>
          </w:p>
        </w:tc>
        <w:tc>
          <w:tcPr>
            <w:tcW w:w="1897" w:type="dxa"/>
            <w:noWrap/>
            <w:hideMark/>
          </w:tcPr>
          <w:p w14:paraId="0F596D1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101</w:t>
            </w:r>
          </w:p>
        </w:tc>
        <w:tc>
          <w:tcPr>
            <w:tcW w:w="1424" w:type="dxa"/>
            <w:noWrap/>
            <w:hideMark/>
          </w:tcPr>
          <w:p w14:paraId="74BAFC7F"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-84,53% </w:t>
            </w:r>
          </w:p>
        </w:tc>
      </w:tr>
      <w:tr w:rsidR="00157F17" w:rsidRPr="00840E13" w14:paraId="2D70BE8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9A10F33"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Or fin</w:t>
            </w:r>
          </w:p>
        </w:tc>
        <w:tc>
          <w:tcPr>
            <w:tcW w:w="1417" w:type="dxa"/>
            <w:noWrap/>
            <w:hideMark/>
          </w:tcPr>
          <w:p w14:paraId="62D11482"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kilos</w:t>
            </w:r>
          </w:p>
        </w:tc>
        <w:tc>
          <w:tcPr>
            <w:tcW w:w="1693" w:type="dxa"/>
            <w:noWrap/>
            <w:hideMark/>
          </w:tcPr>
          <w:p w14:paraId="0A0C982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31 878</w:t>
            </w:r>
          </w:p>
        </w:tc>
        <w:tc>
          <w:tcPr>
            <w:tcW w:w="1897" w:type="dxa"/>
            <w:noWrap/>
            <w:hideMark/>
          </w:tcPr>
          <w:p w14:paraId="20367467"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30 664</w:t>
            </w:r>
          </w:p>
        </w:tc>
        <w:tc>
          <w:tcPr>
            <w:tcW w:w="1424" w:type="dxa"/>
            <w:noWrap/>
            <w:hideMark/>
          </w:tcPr>
          <w:p w14:paraId="641C518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-3,81% </w:t>
            </w:r>
          </w:p>
        </w:tc>
      </w:tr>
      <w:tr w:rsidR="00157F17" w:rsidRPr="00840E13" w14:paraId="0C549446"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9490426"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Diamant</w:t>
            </w:r>
          </w:p>
        </w:tc>
        <w:tc>
          <w:tcPr>
            <w:tcW w:w="1417" w:type="dxa"/>
            <w:noWrap/>
            <w:hideMark/>
          </w:tcPr>
          <w:p w14:paraId="613102DD"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par Carat</w:t>
            </w:r>
          </w:p>
        </w:tc>
        <w:tc>
          <w:tcPr>
            <w:tcW w:w="1693" w:type="dxa"/>
            <w:noWrap/>
            <w:hideMark/>
          </w:tcPr>
          <w:p w14:paraId="3047C90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15 753 487</w:t>
            </w:r>
          </w:p>
        </w:tc>
        <w:tc>
          <w:tcPr>
            <w:tcW w:w="1897" w:type="dxa"/>
            <w:noWrap/>
            <w:hideMark/>
          </w:tcPr>
          <w:p w14:paraId="4CF8DFB9"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15 559 447</w:t>
            </w:r>
          </w:p>
        </w:tc>
        <w:tc>
          <w:tcPr>
            <w:tcW w:w="1424" w:type="dxa"/>
            <w:noWrap/>
            <w:hideMark/>
          </w:tcPr>
          <w:p w14:paraId="02AB9A8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-1,23% </w:t>
            </w:r>
          </w:p>
        </w:tc>
      </w:tr>
      <w:tr w:rsidR="00157F17" w:rsidRPr="00840E13" w14:paraId="16DF0C00"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3C909BD"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Cassitérite</w:t>
            </w:r>
          </w:p>
        </w:tc>
        <w:tc>
          <w:tcPr>
            <w:tcW w:w="1417" w:type="dxa"/>
            <w:noWrap/>
            <w:hideMark/>
          </w:tcPr>
          <w:p w14:paraId="72876CFE"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506D38F5"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8 304</w:t>
            </w:r>
          </w:p>
        </w:tc>
        <w:tc>
          <w:tcPr>
            <w:tcW w:w="1897" w:type="dxa"/>
            <w:noWrap/>
            <w:hideMark/>
          </w:tcPr>
          <w:p w14:paraId="092EE7CC"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11 824</w:t>
            </w:r>
          </w:p>
        </w:tc>
        <w:tc>
          <w:tcPr>
            <w:tcW w:w="1424" w:type="dxa"/>
            <w:noWrap/>
            <w:hideMark/>
          </w:tcPr>
          <w:p w14:paraId="677F39F3"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42,39% </w:t>
            </w:r>
          </w:p>
        </w:tc>
      </w:tr>
      <w:tr w:rsidR="00157F17" w:rsidRPr="00840E13" w14:paraId="0F07C2F9"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5DC24FC"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Coltan</w:t>
            </w:r>
          </w:p>
        </w:tc>
        <w:tc>
          <w:tcPr>
            <w:tcW w:w="1417" w:type="dxa"/>
            <w:noWrap/>
            <w:hideMark/>
          </w:tcPr>
          <w:p w14:paraId="698387E0"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76007C4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2 102</w:t>
            </w:r>
          </w:p>
        </w:tc>
        <w:tc>
          <w:tcPr>
            <w:tcW w:w="1897" w:type="dxa"/>
            <w:noWrap/>
            <w:hideMark/>
          </w:tcPr>
          <w:p w14:paraId="0BACC32E"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2 414</w:t>
            </w:r>
          </w:p>
        </w:tc>
        <w:tc>
          <w:tcPr>
            <w:tcW w:w="1424" w:type="dxa"/>
            <w:noWrap/>
            <w:hideMark/>
          </w:tcPr>
          <w:p w14:paraId="7DC87A46"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14,84% </w:t>
            </w:r>
          </w:p>
        </w:tc>
      </w:tr>
      <w:tr w:rsidR="00157F17" w:rsidRPr="00840E13" w14:paraId="438D9AC7"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7CF8188" w14:textId="77777777" w:rsidR="00157F17" w:rsidRPr="00840E13" w:rsidRDefault="00157F17" w:rsidP="00E4464E">
            <w:pPr>
              <w:rPr>
                <w:rFonts w:ascii="Times New Roman" w:hAnsi="Times New Roman"/>
                <w:sz w:val="16"/>
                <w:szCs w:val="16"/>
                <w:lang w:eastAsia="fr-FR"/>
              </w:rPr>
            </w:pPr>
            <w:r w:rsidRPr="00840E13">
              <w:rPr>
                <w:rFonts w:ascii="Times New Roman" w:hAnsi="Times New Roman"/>
                <w:sz w:val="16"/>
                <w:szCs w:val="16"/>
                <w:lang w:eastAsia="fr-FR"/>
              </w:rPr>
              <w:t>Wolframite</w:t>
            </w:r>
          </w:p>
        </w:tc>
        <w:tc>
          <w:tcPr>
            <w:tcW w:w="1417" w:type="dxa"/>
            <w:noWrap/>
            <w:hideMark/>
          </w:tcPr>
          <w:p w14:paraId="2EA9054A" w14:textId="77777777" w:rsidR="00157F17" w:rsidRPr="00840E13" w:rsidRDefault="00157F17"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693" w:type="dxa"/>
            <w:noWrap/>
            <w:hideMark/>
          </w:tcPr>
          <w:p w14:paraId="253CBB48"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106</w:t>
            </w:r>
          </w:p>
        </w:tc>
        <w:tc>
          <w:tcPr>
            <w:tcW w:w="1897" w:type="dxa"/>
            <w:noWrap/>
            <w:hideMark/>
          </w:tcPr>
          <w:p w14:paraId="25E97301"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154</w:t>
            </w:r>
          </w:p>
        </w:tc>
        <w:tc>
          <w:tcPr>
            <w:tcW w:w="1424" w:type="dxa"/>
            <w:noWrap/>
            <w:hideMark/>
          </w:tcPr>
          <w:p w14:paraId="07EDA989" w14:textId="77777777" w:rsidR="00157F17" w:rsidRPr="00840E13" w:rsidRDefault="00157F17"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45,28% </w:t>
            </w:r>
          </w:p>
        </w:tc>
      </w:tr>
    </w:tbl>
    <w:p w14:paraId="2A778C00" w14:textId="77777777" w:rsidR="00157F17" w:rsidRPr="00840E13" w:rsidRDefault="00157F17" w:rsidP="00157F17">
      <w:pPr>
        <w:spacing w:after="0"/>
        <w:rPr>
          <w:rFonts w:ascii="Times New Roman" w:hAnsi="Times New Roman"/>
          <w:bCs/>
          <w:sz w:val="24"/>
          <w:szCs w:val="24"/>
          <w:lang w:eastAsia="fr-FR"/>
        </w:rPr>
      </w:pPr>
    </w:p>
    <w:p w14:paraId="4742AF52" w14:textId="77777777" w:rsidR="00157F17" w:rsidRPr="00840E13" w:rsidRDefault="00157F17" w:rsidP="00157F17">
      <w:pPr>
        <w:spacing w:after="0"/>
        <w:rPr>
          <w:rFonts w:ascii="Times New Roman" w:hAnsi="Times New Roman"/>
          <w:bCs/>
          <w:sz w:val="24"/>
          <w:szCs w:val="24"/>
          <w:lang w:eastAsia="fr-FR"/>
        </w:rPr>
      </w:pPr>
    </w:p>
    <w:p w14:paraId="644CB607" w14:textId="77777777" w:rsidR="00157F17" w:rsidRPr="00840E13" w:rsidRDefault="00157F17" w:rsidP="00157F17">
      <w:pPr>
        <w:spacing w:after="0"/>
        <w:ind w:left="709"/>
        <w:rPr>
          <w:rFonts w:ascii="Times New Roman" w:hAnsi="Times New Roman"/>
          <w:bCs/>
          <w:sz w:val="24"/>
          <w:szCs w:val="24"/>
          <w:lang w:eastAsia="fr-FR"/>
        </w:rPr>
      </w:pPr>
      <w:r w:rsidRPr="0003008B">
        <w:rPr>
          <w:rFonts w:ascii="Times New Roman" w:hAnsi="Times New Roman"/>
          <w:bCs/>
          <w:sz w:val="24"/>
          <w:szCs w:val="24"/>
          <w:lang w:eastAsia="fr-FR"/>
        </w:rPr>
        <w:t xml:space="preserve">Vu leur volume, les informations désagrégées par entreprise, matière et produit marchand sont postées  sur le site. Elles sont  </w:t>
      </w:r>
      <w:r>
        <w:rPr>
          <w:rFonts w:ascii="Times New Roman" w:hAnsi="Times New Roman"/>
          <w:bCs/>
          <w:sz w:val="24"/>
          <w:szCs w:val="24"/>
          <w:lang w:eastAsia="fr-FR"/>
        </w:rPr>
        <w:t xml:space="preserve">donc disponibles sur  notre </w:t>
      </w:r>
      <w:hyperlink r:id="rId40" w:history="1">
        <w:r>
          <w:rPr>
            <w:rStyle w:val="Lienhypertexte"/>
            <w:rFonts w:ascii="Times New Roman" w:hAnsi="Times New Roman"/>
            <w:bCs/>
            <w:sz w:val="24"/>
            <w:szCs w:val="24"/>
            <w:lang w:eastAsia="fr-FR"/>
          </w:rPr>
          <w:t>P</w:t>
        </w:r>
        <w:r w:rsidRPr="00840E13">
          <w:rPr>
            <w:rStyle w:val="Lienhypertexte"/>
            <w:rFonts w:ascii="Times New Roman" w:hAnsi="Times New Roman"/>
            <w:bCs/>
            <w:sz w:val="24"/>
            <w:szCs w:val="24"/>
            <w:lang w:eastAsia="fr-FR"/>
          </w:rPr>
          <w:t>ortail des données.</w:t>
        </w:r>
      </w:hyperlink>
      <w:r w:rsidRPr="00840E13">
        <w:rPr>
          <w:rFonts w:ascii="Times New Roman" w:hAnsi="Times New Roman"/>
          <w:sz w:val="24"/>
          <w:szCs w:val="24"/>
        </w:rPr>
        <w:t xml:space="preserve"> </w:t>
      </w:r>
    </w:p>
    <w:p w14:paraId="6DF01131" w14:textId="77777777" w:rsidR="00157F17" w:rsidRDefault="00157F17" w:rsidP="00157F17">
      <w:pPr>
        <w:spacing w:after="0"/>
        <w:ind w:left="709"/>
        <w:rPr>
          <w:rFonts w:ascii="Times New Roman" w:hAnsi="Times New Roman"/>
          <w:bCs/>
          <w:sz w:val="24"/>
          <w:szCs w:val="24"/>
          <w:lang w:eastAsia="fr-FR"/>
        </w:rPr>
      </w:pPr>
      <w:r>
        <w:rPr>
          <w:rFonts w:ascii="Times New Roman" w:hAnsi="Times New Roman"/>
          <w:bCs/>
          <w:sz w:val="24"/>
          <w:szCs w:val="24"/>
          <w:lang w:eastAsia="fr-FR"/>
        </w:rPr>
        <w:t xml:space="preserve"> L</w:t>
      </w:r>
      <w:r w:rsidRPr="00840E13">
        <w:rPr>
          <w:rFonts w:ascii="Times New Roman" w:hAnsi="Times New Roman"/>
          <w:bCs/>
          <w:sz w:val="24"/>
          <w:szCs w:val="24"/>
          <w:lang w:eastAsia="fr-FR"/>
        </w:rPr>
        <w:t xml:space="preserve">e site du </w:t>
      </w:r>
      <w:hyperlink r:id="rId41" w:history="1">
        <w:r w:rsidRPr="00840E13">
          <w:rPr>
            <w:rStyle w:val="Lienhypertexte"/>
            <w:rFonts w:ascii="Times New Roman" w:hAnsi="Times New Roman"/>
            <w:bCs/>
            <w:sz w:val="24"/>
            <w:szCs w:val="24"/>
            <w:lang w:eastAsia="fr-FR"/>
          </w:rPr>
          <w:t>Ministère des Mines</w:t>
        </w:r>
      </w:hyperlink>
      <w:r>
        <w:rPr>
          <w:rStyle w:val="Marquedecommentaire"/>
        </w:rPr>
        <w:t xml:space="preserve"> (voir Bulletins statistiques minières de la CTCPM) ainsi que </w:t>
      </w:r>
      <w:r w:rsidRPr="00840E13">
        <w:rPr>
          <w:rFonts w:ascii="Times New Roman" w:hAnsi="Times New Roman"/>
          <w:bCs/>
          <w:sz w:val="24"/>
          <w:szCs w:val="24"/>
          <w:lang w:eastAsia="fr-FR"/>
        </w:rPr>
        <w:t xml:space="preserve"> et dans le </w:t>
      </w:r>
      <w:hyperlink r:id="rId42" w:history="1">
        <w:r>
          <w:rPr>
            <w:rStyle w:val="Lienhypertexte"/>
            <w:rFonts w:ascii="Times New Roman" w:hAnsi="Times New Roman"/>
            <w:bCs/>
            <w:sz w:val="24"/>
            <w:szCs w:val="24"/>
            <w:lang w:eastAsia="fr-FR"/>
          </w:rPr>
          <w:t>R</w:t>
        </w:r>
        <w:r w:rsidRPr="00840E13">
          <w:rPr>
            <w:rStyle w:val="Lienhypertexte"/>
            <w:rFonts w:ascii="Times New Roman" w:hAnsi="Times New Roman"/>
            <w:bCs/>
            <w:sz w:val="24"/>
            <w:szCs w:val="24"/>
            <w:lang w:eastAsia="fr-FR"/>
          </w:rPr>
          <w:t>apport 2016 de la BCC</w:t>
        </w:r>
      </w:hyperlink>
      <w:r>
        <w:rPr>
          <w:rFonts w:ascii="Times New Roman" w:hAnsi="Times New Roman"/>
          <w:bCs/>
          <w:sz w:val="24"/>
          <w:szCs w:val="24"/>
          <w:lang w:eastAsia="fr-FR"/>
        </w:rPr>
        <w:t xml:space="preserve">  renseignent aussi des informations sur la production.</w:t>
      </w:r>
    </w:p>
    <w:p w14:paraId="2DD07F29" w14:textId="3505FFC8" w:rsidR="00B50BF9" w:rsidRDefault="00157F17" w:rsidP="00051E32">
      <w:pPr>
        <w:ind w:left="709"/>
        <w:rPr>
          <w:rFonts w:ascii="Times New Roman" w:hAnsi="Times New Roman"/>
          <w:bCs/>
          <w:sz w:val="24"/>
          <w:szCs w:val="24"/>
          <w:lang w:eastAsia="fr-FR"/>
        </w:rPr>
      </w:pPr>
      <w:r>
        <w:rPr>
          <w:rFonts w:ascii="Times New Roman" w:hAnsi="Times New Roman"/>
          <w:bCs/>
          <w:sz w:val="24"/>
          <w:szCs w:val="24"/>
          <w:lang w:eastAsia="fr-FR"/>
        </w:rPr>
        <w:t xml:space="preserve">Il est aussi utile de noter les données ci-dessus  contiennent  une  production d’origine artisanale particulièrement la cassitérite, le coltan,  le wolframite et dans une certaine mesure le diamant.  </w:t>
      </w:r>
    </w:p>
    <w:p w14:paraId="423264B6" w14:textId="77777777" w:rsidR="00B50BF9" w:rsidRDefault="00B50BF9">
      <w:pPr>
        <w:rPr>
          <w:rFonts w:ascii="Times New Roman" w:hAnsi="Times New Roman"/>
          <w:bCs/>
          <w:sz w:val="24"/>
          <w:szCs w:val="24"/>
          <w:lang w:eastAsia="fr-FR"/>
        </w:rPr>
      </w:pPr>
      <w:r>
        <w:rPr>
          <w:rFonts w:ascii="Times New Roman" w:hAnsi="Times New Roman"/>
          <w:bCs/>
          <w:sz w:val="24"/>
          <w:szCs w:val="24"/>
          <w:lang w:eastAsia="fr-FR"/>
        </w:rPr>
        <w:br w:type="page"/>
      </w:r>
    </w:p>
    <w:p w14:paraId="680C540E" w14:textId="77777777" w:rsidR="00157F17" w:rsidRPr="00026C6E" w:rsidRDefault="00157F17" w:rsidP="00157F17">
      <w:pPr>
        <w:ind w:left="851"/>
        <w:rPr>
          <w:rFonts w:ascii="Times New Roman" w:hAnsi="Times New Roman"/>
          <w:i/>
          <w:color w:val="2E74B5" w:themeColor="accent1" w:themeShade="BF"/>
          <w:sz w:val="24"/>
          <w:szCs w:val="24"/>
        </w:rPr>
      </w:pPr>
      <w:r w:rsidRPr="00026C6E">
        <w:rPr>
          <w:rFonts w:ascii="Times New Roman" w:hAnsi="Times New Roman"/>
          <w:i/>
          <w:color w:val="2E74B5" w:themeColor="accent1" w:themeShade="BF"/>
          <w:sz w:val="24"/>
          <w:szCs w:val="24"/>
        </w:rPr>
        <w:lastRenderedPageBreak/>
        <w:t>Pour les données sur les exportations:</w:t>
      </w:r>
    </w:p>
    <w:p w14:paraId="3C0196B2" w14:textId="77777777" w:rsidR="00157F17" w:rsidRPr="00840E13" w:rsidRDefault="00157F17" w:rsidP="00157F17">
      <w:pPr>
        <w:ind w:left="709"/>
        <w:rPr>
          <w:rFonts w:ascii="Times New Roman" w:hAnsi="Times New Roman"/>
          <w:bCs/>
          <w:sz w:val="24"/>
          <w:szCs w:val="24"/>
          <w:lang w:eastAsia="fr-FR"/>
        </w:rPr>
      </w:pPr>
      <w:r w:rsidRPr="00840E13">
        <w:rPr>
          <w:rFonts w:ascii="Times New Roman" w:hAnsi="Times New Roman"/>
          <w:bCs/>
          <w:sz w:val="24"/>
          <w:szCs w:val="24"/>
          <w:lang w:eastAsia="fr-FR"/>
        </w:rPr>
        <w:t>Les données condensées par matière fournies par le Ministère de Mine sont présentées ci-après :</w:t>
      </w:r>
    </w:p>
    <w:tbl>
      <w:tblPr>
        <w:tblStyle w:val="TableauGrille1Clair1"/>
        <w:tblW w:w="7834" w:type="dxa"/>
        <w:tblInd w:w="666" w:type="dxa"/>
        <w:tblLook w:val="04A0" w:firstRow="1" w:lastRow="0" w:firstColumn="1" w:lastColumn="0" w:noHBand="0" w:noVBand="1"/>
      </w:tblPr>
      <w:tblGrid>
        <w:gridCol w:w="1844"/>
        <w:gridCol w:w="1313"/>
        <w:gridCol w:w="1559"/>
        <w:gridCol w:w="1674"/>
        <w:gridCol w:w="1444"/>
      </w:tblGrid>
      <w:tr w:rsidR="00495B53" w:rsidRPr="00840E13" w14:paraId="3AE475A4" w14:textId="77777777" w:rsidTr="00002ED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44" w:type="dxa"/>
            <w:vMerge w:val="restart"/>
            <w:vAlign w:val="center"/>
            <w:hideMark/>
          </w:tcPr>
          <w:p w14:paraId="23FEFCF0" w14:textId="77777777" w:rsidR="00495B53" w:rsidRPr="00840E13" w:rsidRDefault="00495B53" w:rsidP="00002ED3">
            <w:pPr>
              <w:jc w:val="center"/>
              <w:rPr>
                <w:rFonts w:ascii="Times New Roman" w:hAnsi="Times New Roman"/>
                <w:sz w:val="16"/>
                <w:szCs w:val="16"/>
                <w:lang w:eastAsia="fr-FR"/>
              </w:rPr>
            </w:pPr>
            <w:r w:rsidRPr="00840E13">
              <w:rPr>
                <w:rFonts w:ascii="Times New Roman" w:hAnsi="Times New Roman"/>
                <w:sz w:val="16"/>
                <w:szCs w:val="16"/>
                <w:lang w:eastAsia="fr-FR"/>
              </w:rPr>
              <w:t>Produit</w:t>
            </w:r>
          </w:p>
        </w:tc>
        <w:tc>
          <w:tcPr>
            <w:tcW w:w="1313" w:type="dxa"/>
            <w:vMerge w:val="restart"/>
            <w:vAlign w:val="center"/>
            <w:hideMark/>
          </w:tcPr>
          <w:p w14:paraId="083A479A" w14:textId="77777777" w:rsidR="00495B53" w:rsidRPr="00840E13" w:rsidRDefault="00495B53"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Unité</w:t>
            </w:r>
          </w:p>
        </w:tc>
        <w:tc>
          <w:tcPr>
            <w:tcW w:w="4677" w:type="dxa"/>
            <w:gridSpan w:val="3"/>
            <w:vAlign w:val="center"/>
            <w:hideMark/>
          </w:tcPr>
          <w:p w14:paraId="3ED98C34" w14:textId="77777777" w:rsidR="00495B53" w:rsidRPr="00840E13" w:rsidRDefault="00495B53" w:rsidP="00002E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eastAsia="fr-FR"/>
              </w:rPr>
            </w:pPr>
            <w:r w:rsidRPr="00840E13">
              <w:rPr>
                <w:rFonts w:ascii="Times New Roman" w:hAnsi="Times New Roman"/>
                <w:sz w:val="16"/>
                <w:szCs w:val="16"/>
                <w:lang w:eastAsia="fr-FR"/>
              </w:rPr>
              <w:t>Exportation</w:t>
            </w:r>
          </w:p>
        </w:tc>
      </w:tr>
      <w:tr w:rsidR="00495B53" w:rsidRPr="00840E13" w14:paraId="51E65384" w14:textId="77777777" w:rsidTr="00002ED3">
        <w:trPr>
          <w:trHeight w:val="371"/>
        </w:trPr>
        <w:tc>
          <w:tcPr>
            <w:cnfStyle w:val="001000000000" w:firstRow="0" w:lastRow="0" w:firstColumn="1" w:lastColumn="0" w:oddVBand="0" w:evenVBand="0" w:oddHBand="0" w:evenHBand="0" w:firstRowFirstColumn="0" w:firstRowLastColumn="0" w:lastRowFirstColumn="0" w:lastRowLastColumn="0"/>
            <w:tcW w:w="1844" w:type="dxa"/>
            <w:vMerge/>
            <w:vAlign w:val="center"/>
            <w:hideMark/>
          </w:tcPr>
          <w:p w14:paraId="6981EABE" w14:textId="77777777" w:rsidR="00495B53" w:rsidRPr="00840E13" w:rsidRDefault="00495B53" w:rsidP="00002ED3">
            <w:pPr>
              <w:jc w:val="center"/>
              <w:rPr>
                <w:rFonts w:ascii="Times New Roman" w:hAnsi="Times New Roman"/>
                <w:color w:val="FFFFFF"/>
                <w:sz w:val="16"/>
                <w:szCs w:val="16"/>
                <w:lang w:eastAsia="fr-FR"/>
              </w:rPr>
            </w:pPr>
          </w:p>
        </w:tc>
        <w:tc>
          <w:tcPr>
            <w:tcW w:w="1313" w:type="dxa"/>
            <w:vMerge/>
            <w:vAlign w:val="center"/>
            <w:hideMark/>
          </w:tcPr>
          <w:p w14:paraId="381776E1"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FFFF"/>
                <w:sz w:val="16"/>
                <w:szCs w:val="16"/>
                <w:lang w:eastAsia="fr-FR"/>
              </w:rPr>
            </w:pPr>
          </w:p>
        </w:tc>
        <w:tc>
          <w:tcPr>
            <w:tcW w:w="1559" w:type="dxa"/>
            <w:vAlign w:val="center"/>
            <w:hideMark/>
          </w:tcPr>
          <w:p w14:paraId="7738793D"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2015</w:t>
            </w:r>
          </w:p>
        </w:tc>
        <w:tc>
          <w:tcPr>
            <w:tcW w:w="1674" w:type="dxa"/>
            <w:vAlign w:val="center"/>
            <w:hideMark/>
          </w:tcPr>
          <w:p w14:paraId="4C9021C1"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2016</w:t>
            </w:r>
          </w:p>
        </w:tc>
        <w:tc>
          <w:tcPr>
            <w:tcW w:w="1444" w:type="dxa"/>
            <w:vAlign w:val="center"/>
            <w:hideMark/>
          </w:tcPr>
          <w:p w14:paraId="506BC80C" w14:textId="77777777" w:rsidR="00495B53" w:rsidRPr="00840E13" w:rsidRDefault="00495B53" w:rsidP="00002E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323E4F" w:themeColor="text2" w:themeShade="BF"/>
                <w:sz w:val="16"/>
                <w:szCs w:val="16"/>
                <w:lang w:eastAsia="fr-FR"/>
              </w:rPr>
            </w:pPr>
            <w:r w:rsidRPr="00840E13">
              <w:rPr>
                <w:rFonts w:ascii="Times New Roman" w:hAnsi="Times New Roman"/>
                <w:b/>
                <w:color w:val="323E4F" w:themeColor="text2" w:themeShade="BF"/>
                <w:sz w:val="16"/>
                <w:szCs w:val="16"/>
                <w:lang w:eastAsia="fr-FR"/>
              </w:rPr>
              <w:t>Variation</w:t>
            </w:r>
          </w:p>
        </w:tc>
      </w:tr>
      <w:tr w:rsidR="00495B53" w:rsidRPr="00840E13" w14:paraId="321A6632"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C1EE305"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Cuivre</w:t>
            </w:r>
          </w:p>
        </w:tc>
        <w:tc>
          <w:tcPr>
            <w:tcW w:w="1313" w:type="dxa"/>
            <w:noWrap/>
            <w:hideMark/>
          </w:tcPr>
          <w:p w14:paraId="17F7F828"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1EF7D8F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1 021 116</w:t>
            </w:r>
          </w:p>
        </w:tc>
        <w:tc>
          <w:tcPr>
            <w:tcW w:w="1674" w:type="dxa"/>
            <w:noWrap/>
            <w:hideMark/>
          </w:tcPr>
          <w:p w14:paraId="254C6689"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1 023 686</w:t>
            </w:r>
          </w:p>
        </w:tc>
        <w:tc>
          <w:tcPr>
            <w:tcW w:w="1444" w:type="dxa"/>
            <w:noWrap/>
            <w:hideMark/>
          </w:tcPr>
          <w:p w14:paraId="7F065C9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0,25% </w:t>
            </w:r>
          </w:p>
        </w:tc>
      </w:tr>
      <w:tr w:rsidR="00495B53" w:rsidRPr="00840E13" w14:paraId="125AE6B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39CF4A21"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Cobalt</w:t>
            </w:r>
          </w:p>
        </w:tc>
        <w:tc>
          <w:tcPr>
            <w:tcW w:w="1313" w:type="dxa"/>
            <w:noWrap/>
            <w:hideMark/>
          </w:tcPr>
          <w:p w14:paraId="605BB625"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39678155"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83 529</w:t>
            </w:r>
          </w:p>
        </w:tc>
        <w:tc>
          <w:tcPr>
            <w:tcW w:w="1674" w:type="dxa"/>
            <w:noWrap/>
            <w:hideMark/>
          </w:tcPr>
          <w:p w14:paraId="52D97631"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68 821</w:t>
            </w:r>
          </w:p>
        </w:tc>
        <w:tc>
          <w:tcPr>
            <w:tcW w:w="1444" w:type="dxa"/>
            <w:noWrap/>
            <w:hideMark/>
          </w:tcPr>
          <w:p w14:paraId="7B98073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-17,61% </w:t>
            </w:r>
          </w:p>
        </w:tc>
      </w:tr>
      <w:tr w:rsidR="00495B53" w:rsidRPr="00840E13" w14:paraId="3A2DF049" w14:textId="77777777" w:rsidTr="00495B53">
        <w:trPr>
          <w:trHeight w:val="373"/>
        </w:trPr>
        <w:tc>
          <w:tcPr>
            <w:cnfStyle w:val="001000000000" w:firstRow="0" w:lastRow="0" w:firstColumn="1" w:lastColumn="0" w:oddVBand="0" w:evenVBand="0" w:oddHBand="0" w:evenHBand="0" w:firstRowFirstColumn="0" w:firstRowLastColumn="0" w:lastRowFirstColumn="0" w:lastRowLastColumn="0"/>
            <w:tcW w:w="1844" w:type="dxa"/>
            <w:noWrap/>
            <w:hideMark/>
          </w:tcPr>
          <w:p w14:paraId="4452950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Zinc (métal contenu)</w:t>
            </w:r>
          </w:p>
        </w:tc>
        <w:tc>
          <w:tcPr>
            <w:tcW w:w="1313" w:type="dxa"/>
            <w:noWrap/>
            <w:hideMark/>
          </w:tcPr>
          <w:p w14:paraId="2F2C52D6"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5272AA0B"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12 675</w:t>
            </w:r>
          </w:p>
        </w:tc>
        <w:tc>
          <w:tcPr>
            <w:tcW w:w="1674" w:type="dxa"/>
            <w:noWrap/>
            <w:hideMark/>
          </w:tcPr>
          <w:p w14:paraId="13F23AB8"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12 587</w:t>
            </w:r>
          </w:p>
        </w:tc>
        <w:tc>
          <w:tcPr>
            <w:tcW w:w="1444" w:type="dxa"/>
            <w:noWrap/>
            <w:hideMark/>
          </w:tcPr>
          <w:p w14:paraId="4EC36CB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-0,69% </w:t>
            </w:r>
          </w:p>
        </w:tc>
      </w:tr>
      <w:tr w:rsidR="00495B53" w:rsidRPr="00840E13" w14:paraId="23E534F6" w14:textId="77777777" w:rsidTr="00495B53">
        <w:trPr>
          <w:trHeight w:val="304"/>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F67F185"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Plomb (contenu)</w:t>
            </w:r>
          </w:p>
        </w:tc>
        <w:tc>
          <w:tcPr>
            <w:tcW w:w="1313" w:type="dxa"/>
            <w:noWrap/>
            <w:hideMark/>
          </w:tcPr>
          <w:p w14:paraId="21A93C5B"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747D3C02"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653</w:t>
            </w:r>
          </w:p>
        </w:tc>
        <w:tc>
          <w:tcPr>
            <w:tcW w:w="1674" w:type="dxa"/>
            <w:noWrap/>
            <w:hideMark/>
          </w:tcPr>
          <w:p w14:paraId="0374077A"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101</w:t>
            </w:r>
          </w:p>
        </w:tc>
        <w:tc>
          <w:tcPr>
            <w:tcW w:w="1444" w:type="dxa"/>
            <w:noWrap/>
            <w:hideMark/>
          </w:tcPr>
          <w:p w14:paraId="154F726B"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-84,53% </w:t>
            </w:r>
          </w:p>
        </w:tc>
      </w:tr>
      <w:tr w:rsidR="00495B53" w:rsidRPr="00840E13" w14:paraId="75677521"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2B2D7CC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Or fin</w:t>
            </w:r>
          </w:p>
        </w:tc>
        <w:tc>
          <w:tcPr>
            <w:tcW w:w="1313" w:type="dxa"/>
            <w:noWrap/>
            <w:hideMark/>
          </w:tcPr>
          <w:p w14:paraId="0B190670"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kilos</w:t>
            </w:r>
          </w:p>
        </w:tc>
        <w:tc>
          <w:tcPr>
            <w:tcW w:w="1559" w:type="dxa"/>
            <w:noWrap/>
            <w:hideMark/>
          </w:tcPr>
          <w:p w14:paraId="5A189AE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31 791</w:t>
            </w:r>
          </w:p>
        </w:tc>
        <w:tc>
          <w:tcPr>
            <w:tcW w:w="1674" w:type="dxa"/>
            <w:noWrap/>
            <w:hideMark/>
          </w:tcPr>
          <w:p w14:paraId="7CFA794F"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30 178</w:t>
            </w:r>
          </w:p>
        </w:tc>
        <w:tc>
          <w:tcPr>
            <w:tcW w:w="1444" w:type="dxa"/>
            <w:noWrap/>
            <w:hideMark/>
          </w:tcPr>
          <w:p w14:paraId="300CC828"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-5,08% </w:t>
            </w:r>
          </w:p>
        </w:tc>
      </w:tr>
      <w:tr w:rsidR="00495B53" w:rsidRPr="00840E13" w14:paraId="5EFAFE22"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1D056196"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Diamant</w:t>
            </w:r>
          </w:p>
        </w:tc>
        <w:tc>
          <w:tcPr>
            <w:tcW w:w="1313" w:type="dxa"/>
            <w:noWrap/>
            <w:hideMark/>
          </w:tcPr>
          <w:p w14:paraId="727D6EDD"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par Carat</w:t>
            </w:r>
          </w:p>
        </w:tc>
        <w:tc>
          <w:tcPr>
            <w:tcW w:w="1559" w:type="dxa"/>
            <w:noWrap/>
            <w:hideMark/>
          </w:tcPr>
          <w:p w14:paraId="5112F70A"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15 789 209</w:t>
            </w:r>
          </w:p>
        </w:tc>
        <w:tc>
          <w:tcPr>
            <w:tcW w:w="1674" w:type="dxa"/>
            <w:noWrap/>
            <w:hideMark/>
          </w:tcPr>
          <w:p w14:paraId="5F9C240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14 746 354</w:t>
            </w:r>
          </w:p>
        </w:tc>
        <w:tc>
          <w:tcPr>
            <w:tcW w:w="1444" w:type="dxa"/>
            <w:noWrap/>
            <w:hideMark/>
          </w:tcPr>
          <w:p w14:paraId="04201CBC"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-6,6% </w:t>
            </w:r>
          </w:p>
        </w:tc>
      </w:tr>
      <w:tr w:rsidR="00495B53" w:rsidRPr="00840E13" w14:paraId="52C2FE6D"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5DF45423"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Cassitérite</w:t>
            </w:r>
          </w:p>
        </w:tc>
        <w:tc>
          <w:tcPr>
            <w:tcW w:w="1313" w:type="dxa"/>
            <w:noWrap/>
            <w:hideMark/>
          </w:tcPr>
          <w:p w14:paraId="014CB13D"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7638219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7 470</w:t>
            </w:r>
          </w:p>
        </w:tc>
        <w:tc>
          <w:tcPr>
            <w:tcW w:w="1674" w:type="dxa"/>
            <w:noWrap/>
            <w:hideMark/>
          </w:tcPr>
          <w:p w14:paraId="626C7830"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9 466</w:t>
            </w:r>
          </w:p>
        </w:tc>
        <w:tc>
          <w:tcPr>
            <w:tcW w:w="1444" w:type="dxa"/>
            <w:noWrap/>
            <w:hideMark/>
          </w:tcPr>
          <w:p w14:paraId="764BBDF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26,71% </w:t>
            </w:r>
          </w:p>
        </w:tc>
      </w:tr>
      <w:tr w:rsidR="00495B53" w:rsidRPr="00840E13" w14:paraId="5AA079AB"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1DA76BD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Coltan</w:t>
            </w:r>
          </w:p>
        </w:tc>
        <w:tc>
          <w:tcPr>
            <w:tcW w:w="1313" w:type="dxa"/>
            <w:noWrap/>
            <w:hideMark/>
          </w:tcPr>
          <w:p w14:paraId="3AE12BEA"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6B5E7FC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1 293</w:t>
            </w:r>
          </w:p>
        </w:tc>
        <w:tc>
          <w:tcPr>
            <w:tcW w:w="1674" w:type="dxa"/>
            <w:noWrap/>
            <w:hideMark/>
          </w:tcPr>
          <w:p w14:paraId="2359ECD6"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1 787</w:t>
            </w:r>
          </w:p>
        </w:tc>
        <w:tc>
          <w:tcPr>
            <w:tcW w:w="1444" w:type="dxa"/>
            <w:noWrap/>
            <w:hideMark/>
          </w:tcPr>
          <w:p w14:paraId="4BDF8FE7"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38,13% </w:t>
            </w:r>
          </w:p>
        </w:tc>
      </w:tr>
      <w:tr w:rsidR="00495B53" w:rsidRPr="00840E13" w14:paraId="182673EE" w14:textId="77777777" w:rsidTr="00495B53">
        <w:trPr>
          <w:trHeight w:val="31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59686C69" w14:textId="77777777" w:rsidR="00495B53" w:rsidRPr="00840E13" w:rsidRDefault="00495B53" w:rsidP="00E4464E">
            <w:pPr>
              <w:rPr>
                <w:rFonts w:ascii="Times New Roman" w:hAnsi="Times New Roman"/>
                <w:sz w:val="16"/>
                <w:szCs w:val="16"/>
                <w:lang w:eastAsia="fr-FR"/>
              </w:rPr>
            </w:pPr>
            <w:r w:rsidRPr="00840E13">
              <w:rPr>
                <w:rFonts w:ascii="Times New Roman" w:hAnsi="Times New Roman"/>
                <w:sz w:val="16"/>
                <w:szCs w:val="16"/>
                <w:lang w:eastAsia="fr-FR"/>
              </w:rPr>
              <w:t>Wolframite</w:t>
            </w:r>
          </w:p>
        </w:tc>
        <w:tc>
          <w:tcPr>
            <w:tcW w:w="1313" w:type="dxa"/>
            <w:noWrap/>
            <w:hideMark/>
          </w:tcPr>
          <w:p w14:paraId="1613E970" w14:textId="77777777" w:rsidR="00495B53" w:rsidRPr="00840E13" w:rsidRDefault="00495B53" w:rsidP="00E4464E">
            <w:pP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r w:rsidRPr="00840E13">
              <w:rPr>
                <w:rFonts w:ascii="Times New Roman" w:hAnsi="Times New Roman"/>
                <w:sz w:val="16"/>
                <w:szCs w:val="16"/>
                <w:lang w:eastAsia="fr-FR"/>
              </w:rPr>
              <w:t>tonne</w:t>
            </w:r>
          </w:p>
        </w:tc>
        <w:tc>
          <w:tcPr>
            <w:tcW w:w="1559" w:type="dxa"/>
            <w:noWrap/>
            <w:hideMark/>
          </w:tcPr>
          <w:p w14:paraId="14EF39BE"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14</w:t>
            </w:r>
          </w:p>
        </w:tc>
        <w:tc>
          <w:tcPr>
            <w:tcW w:w="1674" w:type="dxa"/>
            <w:noWrap/>
            <w:hideMark/>
          </w:tcPr>
          <w:p w14:paraId="3886EF83"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90</w:t>
            </w:r>
          </w:p>
        </w:tc>
        <w:tc>
          <w:tcPr>
            <w:tcW w:w="1444" w:type="dxa"/>
            <w:noWrap/>
            <w:hideMark/>
          </w:tcPr>
          <w:p w14:paraId="2B9F44FD" w14:textId="77777777" w:rsidR="00495B53" w:rsidRPr="00840E13" w:rsidRDefault="00495B53" w:rsidP="00E446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16"/>
                <w:szCs w:val="16"/>
                <w:lang w:eastAsia="fr-FR"/>
              </w:rPr>
            </w:pPr>
            <w:r w:rsidRPr="00840E13">
              <w:rPr>
                <w:rFonts w:ascii="Times New Roman" w:hAnsi="Times New Roman"/>
                <w:color w:val="000000"/>
                <w:sz w:val="16"/>
                <w:szCs w:val="16"/>
                <w:lang w:eastAsia="fr-FR"/>
              </w:rPr>
              <w:t>542,86% </w:t>
            </w:r>
          </w:p>
        </w:tc>
      </w:tr>
    </w:tbl>
    <w:p w14:paraId="163A3905" w14:textId="77777777" w:rsidR="00157F17" w:rsidRPr="00840E13" w:rsidRDefault="00157F17" w:rsidP="00157F17">
      <w:pPr>
        <w:spacing w:after="0"/>
        <w:rPr>
          <w:rFonts w:ascii="Times New Roman" w:hAnsi="Times New Roman"/>
          <w:bCs/>
          <w:sz w:val="24"/>
          <w:szCs w:val="24"/>
          <w:lang w:eastAsia="fr-FR"/>
        </w:rPr>
      </w:pPr>
    </w:p>
    <w:p w14:paraId="52AA3A33" w14:textId="77777777" w:rsidR="00157F17" w:rsidRPr="00840E13" w:rsidRDefault="00157F17" w:rsidP="00553F42">
      <w:pPr>
        <w:spacing w:after="0"/>
        <w:ind w:left="567"/>
        <w:jc w:val="both"/>
        <w:rPr>
          <w:rFonts w:ascii="Times New Roman" w:hAnsi="Times New Roman"/>
          <w:sz w:val="24"/>
          <w:szCs w:val="24"/>
        </w:rPr>
      </w:pPr>
      <w:r w:rsidRPr="00840E13">
        <w:rPr>
          <w:rFonts w:ascii="Times New Roman" w:hAnsi="Times New Roman"/>
          <w:bCs/>
          <w:sz w:val="24"/>
          <w:szCs w:val="24"/>
          <w:lang w:eastAsia="fr-FR"/>
        </w:rPr>
        <w:t xml:space="preserve">Les données des exportations déclarées à l’ITIE par les entreprises sont disponibles sur notre </w:t>
      </w:r>
      <w:hyperlink r:id="rId43" w:history="1">
        <w:r>
          <w:rPr>
            <w:rStyle w:val="Lienhypertexte"/>
            <w:rFonts w:ascii="Times New Roman" w:hAnsi="Times New Roman"/>
            <w:bCs/>
            <w:sz w:val="24"/>
            <w:szCs w:val="24"/>
            <w:lang w:eastAsia="fr-FR"/>
          </w:rPr>
          <w:t>P</w:t>
        </w:r>
        <w:r w:rsidRPr="00840E13">
          <w:rPr>
            <w:rStyle w:val="Lienhypertexte"/>
            <w:rFonts w:ascii="Times New Roman" w:hAnsi="Times New Roman"/>
            <w:bCs/>
            <w:sz w:val="24"/>
            <w:szCs w:val="24"/>
            <w:lang w:eastAsia="fr-FR"/>
          </w:rPr>
          <w:t>ortail des données.</w:t>
        </w:r>
      </w:hyperlink>
      <w:r w:rsidRPr="00840E13">
        <w:rPr>
          <w:rFonts w:ascii="Times New Roman" w:hAnsi="Times New Roman"/>
          <w:sz w:val="24"/>
          <w:szCs w:val="24"/>
        </w:rPr>
        <w:t xml:space="preserve"> </w:t>
      </w:r>
    </w:p>
    <w:p w14:paraId="67879802" w14:textId="77777777" w:rsidR="00157F17" w:rsidRDefault="00157F17" w:rsidP="00157F17">
      <w:pPr>
        <w:spacing w:after="0"/>
        <w:ind w:left="567"/>
        <w:jc w:val="both"/>
        <w:rPr>
          <w:rFonts w:ascii="Times New Roman" w:hAnsi="Times New Roman"/>
          <w:bCs/>
          <w:sz w:val="24"/>
          <w:szCs w:val="24"/>
          <w:lang w:eastAsia="fr-FR"/>
        </w:rPr>
      </w:pPr>
    </w:p>
    <w:p w14:paraId="57DF6AA1" w14:textId="44AC10CD" w:rsidR="00157F17" w:rsidRDefault="003B49C0" w:rsidP="00157F17">
      <w:pPr>
        <w:spacing w:after="0"/>
        <w:ind w:left="567"/>
        <w:jc w:val="both"/>
        <w:rPr>
          <w:rFonts w:ascii="Times New Roman" w:hAnsi="Times New Roman"/>
          <w:bCs/>
          <w:sz w:val="24"/>
          <w:szCs w:val="24"/>
          <w:lang w:eastAsia="fr-FR"/>
        </w:rPr>
      </w:pPr>
      <w:r>
        <w:rPr>
          <w:rFonts w:ascii="Times New Roman" w:hAnsi="Times New Roman"/>
          <w:bCs/>
          <w:sz w:val="24"/>
          <w:szCs w:val="24"/>
          <w:lang w:eastAsia="fr-FR"/>
        </w:rPr>
        <w:t xml:space="preserve">Il est aussi important  de signaler </w:t>
      </w:r>
      <w:r w:rsidR="00157F17">
        <w:rPr>
          <w:rFonts w:ascii="Times New Roman" w:hAnsi="Times New Roman"/>
          <w:bCs/>
          <w:sz w:val="24"/>
          <w:szCs w:val="24"/>
          <w:lang w:eastAsia="fr-FR"/>
        </w:rPr>
        <w:t xml:space="preserve">que des </w:t>
      </w:r>
      <w:r w:rsidR="00157F17" w:rsidRPr="00840E13">
        <w:rPr>
          <w:rFonts w:ascii="Times New Roman" w:hAnsi="Times New Roman"/>
          <w:bCs/>
          <w:sz w:val="24"/>
          <w:szCs w:val="24"/>
          <w:lang w:eastAsia="fr-FR"/>
        </w:rPr>
        <w:t xml:space="preserve"> données sur les exportations peuvent être consultées dans le </w:t>
      </w:r>
      <w:hyperlink r:id="rId44" w:history="1">
        <w:r w:rsidR="00157F17">
          <w:rPr>
            <w:rStyle w:val="Lienhypertexte"/>
            <w:rFonts w:ascii="Times New Roman" w:hAnsi="Times New Roman"/>
            <w:bCs/>
            <w:sz w:val="24"/>
            <w:szCs w:val="24"/>
            <w:lang w:eastAsia="fr-FR"/>
          </w:rPr>
          <w:t>R</w:t>
        </w:r>
        <w:r w:rsidR="00157F17" w:rsidRPr="00840E13">
          <w:rPr>
            <w:rStyle w:val="Lienhypertexte"/>
            <w:rFonts w:ascii="Times New Roman" w:hAnsi="Times New Roman"/>
            <w:bCs/>
            <w:sz w:val="24"/>
            <w:szCs w:val="24"/>
            <w:lang w:eastAsia="fr-FR"/>
          </w:rPr>
          <w:t>apport 2016 de la BCC</w:t>
        </w:r>
      </w:hyperlink>
      <w:r w:rsidR="00157F17" w:rsidRPr="00840E13">
        <w:rPr>
          <w:rFonts w:ascii="Times New Roman" w:hAnsi="Times New Roman"/>
          <w:bCs/>
          <w:sz w:val="24"/>
          <w:szCs w:val="24"/>
          <w:lang w:eastAsia="fr-FR"/>
        </w:rPr>
        <w:t xml:space="preserve"> (pp. 121-122).</w:t>
      </w:r>
      <w:r w:rsidR="00157F17">
        <w:rPr>
          <w:rFonts w:ascii="Times New Roman" w:hAnsi="Times New Roman"/>
          <w:bCs/>
          <w:sz w:val="24"/>
          <w:szCs w:val="24"/>
          <w:lang w:eastAsia="fr-FR"/>
        </w:rPr>
        <w:t xml:space="preserve"> </w:t>
      </w:r>
    </w:p>
    <w:p w14:paraId="310A7D87" w14:textId="77777777" w:rsidR="00157F17" w:rsidRPr="00840E13" w:rsidRDefault="00157F17" w:rsidP="00157F17">
      <w:pPr>
        <w:spacing w:after="0"/>
        <w:ind w:left="567"/>
        <w:jc w:val="both"/>
        <w:rPr>
          <w:rFonts w:ascii="Times New Roman" w:hAnsi="Times New Roman"/>
          <w:bCs/>
          <w:sz w:val="24"/>
          <w:szCs w:val="24"/>
          <w:lang w:eastAsia="fr-FR"/>
        </w:rPr>
      </w:pPr>
      <w:r>
        <w:rPr>
          <w:rFonts w:ascii="Times New Roman" w:hAnsi="Times New Roman"/>
          <w:bCs/>
          <w:sz w:val="24"/>
          <w:szCs w:val="24"/>
          <w:lang w:eastAsia="fr-FR"/>
        </w:rPr>
        <w:t xml:space="preserve">Cette institution, membre de la Commission de l’harmonisation des statistiques avec différents ministères sectoriels ainsi que l’INS, divulgue plusieurs types de statistiques dont celles à l’exportation qui rentrent dans la confection de la Balance Commerciale. </w:t>
      </w:r>
    </w:p>
    <w:p w14:paraId="7A7E721D" w14:textId="77777777" w:rsidR="00157F17" w:rsidRPr="00840E13" w:rsidRDefault="00157F17" w:rsidP="00157F17">
      <w:pPr>
        <w:spacing w:after="0"/>
        <w:ind w:left="567"/>
        <w:jc w:val="both"/>
        <w:rPr>
          <w:rFonts w:ascii="Times New Roman" w:hAnsi="Times New Roman"/>
          <w:bCs/>
          <w:sz w:val="24"/>
          <w:szCs w:val="24"/>
          <w:lang w:eastAsia="fr-FR"/>
        </w:rPr>
      </w:pPr>
    </w:p>
    <w:p w14:paraId="5FECCD13" w14:textId="3D385C95" w:rsidR="00157F17" w:rsidRPr="00840E13" w:rsidRDefault="004A5D83" w:rsidP="00157F17">
      <w:pPr>
        <w:spacing w:after="120"/>
        <w:ind w:left="567"/>
        <w:jc w:val="both"/>
        <w:rPr>
          <w:rFonts w:ascii="Times New Roman" w:hAnsi="Times New Roman"/>
          <w:bCs/>
          <w:sz w:val="24"/>
          <w:szCs w:val="24"/>
          <w:lang w:eastAsia="fr-FR"/>
        </w:rPr>
      </w:pPr>
      <w:r>
        <w:rPr>
          <w:rFonts w:ascii="Times New Roman" w:hAnsi="Times New Roman"/>
          <w:sz w:val="24"/>
          <w:szCs w:val="24"/>
          <w:lang w:eastAsia="fr-FR"/>
        </w:rPr>
        <w:t xml:space="preserve">Il a été  </w:t>
      </w:r>
      <w:r w:rsidRPr="00840E13">
        <w:rPr>
          <w:rFonts w:ascii="Times New Roman" w:hAnsi="Times New Roman"/>
          <w:sz w:val="24"/>
          <w:szCs w:val="24"/>
          <w:lang w:eastAsia="fr-FR"/>
        </w:rPr>
        <w:t>constaté</w:t>
      </w:r>
      <w:r>
        <w:rPr>
          <w:rFonts w:ascii="Times New Roman" w:hAnsi="Times New Roman"/>
          <w:sz w:val="24"/>
          <w:szCs w:val="24"/>
          <w:lang w:eastAsia="fr-FR"/>
        </w:rPr>
        <w:t xml:space="preserve"> également </w:t>
      </w:r>
      <w:r w:rsidR="00157F17" w:rsidRPr="00840E13">
        <w:rPr>
          <w:rFonts w:ascii="Times New Roman" w:hAnsi="Times New Roman"/>
          <w:sz w:val="24"/>
          <w:szCs w:val="24"/>
          <w:lang w:eastAsia="fr-FR"/>
        </w:rPr>
        <w:t xml:space="preserve"> que certaines entreprises minières n’avaient pas déclaré la valeur du volume leurs productions. Par ailleurs, les méthodes de valorisation de la production utilisées par les entreprises sont nombreuses et souvent spécifiques en fonction de la nature du produit, de sa destination ou encore de la capacité industrielle de chaque entreprise.</w:t>
      </w:r>
      <w:r>
        <w:rPr>
          <w:rFonts w:ascii="Times New Roman" w:hAnsi="Times New Roman"/>
          <w:sz w:val="24"/>
          <w:szCs w:val="24"/>
          <w:lang w:eastAsia="fr-FR"/>
        </w:rPr>
        <w:t xml:space="preserve">  </w:t>
      </w:r>
    </w:p>
    <w:p w14:paraId="1A844C90" w14:textId="3644A668" w:rsidR="00157F17" w:rsidRPr="00840E13" w:rsidRDefault="00157F17" w:rsidP="00157F17">
      <w:pPr>
        <w:spacing w:after="120"/>
        <w:ind w:left="567"/>
        <w:jc w:val="both"/>
        <w:rPr>
          <w:rFonts w:ascii="Times New Roman" w:hAnsi="Times New Roman"/>
          <w:bCs/>
          <w:sz w:val="24"/>
          <w:szCs w:val="24"/>
          <w:lang w:eastAsia="fr-FR"/>
        </w:rPr>
      </w:pPr>
      <w:r w:rsidRPr="00840E13">
        <w:rPr>
          <w:rFonts w:ascii="Times New Roman" w:hAnsi="Times New Roman"/>
          <w:sz w:val="24"/>
          <w:szCs w:val="24"/>
          <w:lang w:eastAsia="fr-FR"/>
        </w:rPr>
        <w:t>Pour certain</w:t>
      </w:r>
      <w:r w:rsidR="004A5D83">
        <w:rPr>
          <w:rFonts w:ascii="Times New Roman" w:hAnsi="Times New Roman"/>
          <w:sz w:val="24"/>
          <w:szCs w:val="24"/>
          <w:lang w:eastAsia="fr-FR"/>
        </w:rPr>
        <w:t>e</w:t>
      </w:r>
      <w:r w:rsidRPr="00840E13">
        <w:rPr>
          <w:rFonts w:ascii="Times New Roman" w:hAnsi="Times New Roman"/>
          <w:sz w:val="24"/>
          <w:szCs w:val="24"/>
          <w:lang w:eastAsia="fr-FR"/>
        </w:rPr>
        <w:t>s, le calcul de la valeur de la production est effectué sur base de l’appréciation des dépenses directes des encours de la production, c’est-à-dire au prix de revient. Pour d’autres par contre, cette valeur est déterminée en multipliant les quantités produites par les cours de réalisation sur le marché, c’est le cas de la GECAMINES.</w:t>
      </w:r>
    </w:p>
    <w:p w14:paraId="6079F10D" w14:textId="77777777" w:rsidR="00157F17" w:rsidRPr="00840E13" w:rsidRDefault="00157F17" w:rsidP="00157F17">
      <w:pPr>
        <w:spacing w:after="120"/>
        <w:ind w:left="567"/>
        <w:jc w:val="both"/>
        <w:rPr>
          <w:rFonts w:ascii="Times New Roman" w:hAnsi="Times New Roman"/>
          <w:sz w:val="24"/>
          <w:szCs w:val="24"/>
        </w:rPr>
      </w:pPr>
      <w:r w:rsidRPr="00840E13">
        <w:rPr>
          <w:rFonts w:ascii="Times New Roman" w:hAnsi="Times New Roman"/>
          <w:sz w:val="24"/>
          <w:szCs w:val="24"/>
        </w:rPr>
        <w:t xml:space="preserve">Compte tenu de cette difficulté, le rapprochement des valeurs de la production entre celles déclarées par les entreprises et celles publiées par l’Etat n’est donc pas possible. </w:t>
      </w:r>
    </w:p>
    <w:p w14:paraId="4121572A" w14:textId="7633749C" w:rsidR="00553F42" w:rsidRDefault="00157F17" w:rsidP="00157F17">
      <w:pPr>
        <w:spacing w:after="120"/>
        <w:ind w:left="567"/>
        <w:jc w:val="both"/>
        <w:rPr>
          <w:rFonts w:ascii="Times New Roman" w:hAnsi="Times New Roman"/>
          <w:sz w:val="24"/>
          <w:szCs w:val="24"/>
        </w:rPr>
      </w:pPr>
      <w:r w:rsidRPr="00840E13">
        <w:rPr>
          <w:rFonts w:ascii="Times New Roman" w:hAnsi="Times New Roman"/>
          <w:sz w:val="24"/>
          <w:szCs w:val="24"/>
        </w:rPr>
        <w:t xml:space="preserve">Afin de palier à cette difficulté, un atelier regroupant les Top 5 des entreprises extractives dont MUTANDA MINING, TFM, BOSS MINING, RUASHI MINING,  MMG, y compris la GECAMINES et les organisations de la société civile a été organisé à Lubumbashi le 31/05/2018. </w:t>
      </w:r>
    </w:p>
    <w:p w14:paraId="3755E915" w14:textId="77777777" w:rsidR="00B50BF9" w:rsidRDefault="00157F17" w:rsidP="00157F17">
      <w:pPr>
        <w:tabs>
          <w:tab w:val="left" w:pos="567"/>
        </w:tabs>
        <w:spacing w:before="160" w:after="320" w:line="360" w:lineRule="auto"/>
        <w:rPr>
          <w:rFonts w:ascii="Times New Roman" w:hAnsi="Times New Roman"/>
          <w:sz w:val="24"/>
          <w:szCs w:val="24"/>
        </w:rPr>
      </w:pPr>
      <w:r>
        <w:rPr>
          <w:rFonts w:ascii="Times New Roman" w:hAnsi="Times New Roman"/>
          <w:sz w:val="24"/>
          <w:szCs w:val="24"/>
        </w:rPr>
        <w:tab/>
      </w:r>
    </w:p>
    <w:p w14:paraId="036FE1BB" w14:textId="77777777" w:rsidR="00B50BF9" w:rsidRDefault="00B50BF9">
      <w:pPr>
        <w:rPr>
          <w:rFonts w:ascii="Times New Roman" w:hAnsi="Times New Roman"/>
          <w:sz w:val="24"/>
          <w:szCs w:val="24"/>
        </w:rPr>
      </w:pPr>
      <w:r>
        <w:rPr>
          <w:rFonts w:ascii="Times New Roman" w:hAnsi="Times New Roman"/>
          <w:sz w:val="24"/>
          <w:szCs w:val="24"/>
        </w:rPr>
        <w:br w:type="page"/>
      </w:r>
    </w:p>
    <w:p w14:paraId="71C5F26F" w14:textId="75DB91A8" w:rsidR="00157F17" w:rsidRPr="00840E13" w:rsidRDefault="00157F17" w:rsidP="00157F17">
      <w:pPr>
        <w:tabs>
          <w:tab w:val="left" w:pos="567"/>
        </w:tabs>
        <w:spacing w:before="160" w:after="320" w:line="360" w:lineRule="auto"/>
        <w:rPr>
          <w:rFonts w:ascii="Times New Roman" w:hAnsi="Times New Roman"/>
          <w:sz w:val="24"/>
          <w:szCs w:val="24"/>
        </w:rPr>
      </w:pPr>
      <w:r w:rsidRPr="00840E13">
        <w:rPr>
          <w:rFonts w:ascii="Times New Roman" w:hAnsi="Times New Roman"/>
          <w:sz w:val="24"/>
          <w:szCs w:val="24"/>
        </w:rPr>
        <w:lastRenderedPageBreak/>
        <w:t>Les parties prenantes à cet atelier ont proposé ce qui suit :</w:t>
      </w:r>
    </w:p>
    <w:p w14:paraId="51F274EC" w14:textId="77777777" w:rsidR="00157F17" w:rsidRPr="00840E13" w:rsidRDefault="00157F17" w:rsidP="00157F17">
      <w:pPr>
        <w:pStyle w:val="Paragraphedeliste"/>
        <w:widowControl w:val="0"/>
        <w:autoSpaceDE w:val="0"/>
        <w:autoSpaceDN w:val="0"/>
        <w:adjustRightInd w:val="0"/>
        <w:spacing w:before="37" w:after="0" w:line="360" w:lineRule="auto"/>
        <w:ind w:left="567" w:right="124"/>
        <w:jc w:val="both"/>
        <w:rPr>
          <w:rFonts w:ascii="Times New Roman" w:hAnsi="Times New Roman" w:cs="Times New Roman"/>
          <w:b/>
          <w:sz w:val="24"/>
          <w:szCs w:val="24"/>
          <w:u w:val="single"/>
        </w:rPr>
      </w:pPr>
      <w:r w:rsidRPr="00840E13">
        <w:rPr>
          <w:rFonts w:ascii="Times New Roman" w:hAnsi="Times New Roman" w:cs="Times New Roman"/>
          <w:b/>
          <w:sz w:val="24"/>
          <w:szCs w:val="24"/>
          <w:u w:val="single"/>
        </w:rPr>
        <w:t xml:space="preserve">Pour la production : </w:t>
      </w:r>
    </w:p>
    <w:p w14:paraId="5D7C7173"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sz w:val="24"/>
          <w:szCs w:val="24"/>
        </w:rPr>
        <w:t>La production sera valorisée au coût total de production ex-usine ;</w:t>
      </w:r>
    </w:p>
    <w:p w14:paraId="0A194251"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p>
    <w:p w14:paraId="0611C25F" w14:textId="77777777" w:rsidR="00157F17" w:rsidRPr="00840E13" w:rsidRDefault="00157F17" w:rsidP="00157F17">
      <w:pPr>
        <w:pStyle w:val="Paragraphedeliste"/>
        <w:widowControl w:val="0"/>
        <w:autoSpaceDE w:val="0"/>
        <w:autoSpaceDN w:val="0"/>
        <w:adjustRightInd w:val="0"/>
        <w:spacing w:before="37" w:after="0" w:line="360" w:lineRule="auto"/>
        <w:ind w:left="567" w:right="124"/>
        <w:jc w:val="both"/>
        <w:rPr>
          <w:rFonts w:ascii="Times New Roman" w:hAnsi="Times New Roman" w:cs="Times New Roman"/>
          <w:b/>
          <w:sz w:val="24"/>
          <w:szCs w:val="24"/>
          <w:u w:val="single"/>
        </w:rPr>
      </w:pPr>
      <w:r w:rsidRPr="00840E13">
        <w:rPr>
          <w:rFonts w:ascii="Times New Roman" w:hAnsi="Times New Roman" w:cs="Times New Roman"/>
          <w:b/>
          <w:sz w:val="24"/>
          <w:szCs w:val="24"/>
          <w:u w:val="single"/>
        </w:rPr>
        <w:t>Pour les exportations :</w:t>
      </w:r>
    </w:p>
    <w:p w14:paraId="725A58AD"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sz w:val="24"/>
          <w:szCs w:val="24"/>
        </w:rPr>
        <w:t xml:space="preserve">Les exportations seront valorisées au prix de vente, c’est-à-dire : </w:t>
      </w:r>
    </w:p>
    <w:p w14:paraId="0F08DE76"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i/>
          <w:sz w:val="24"/>
          <w:szCs w:val="24"/>
        </w:rPr>
      </w:pPr>
      <w:r w:rsidRPr="00840E13">
        <w:rPr>
          <w:rFonts w:ascii="Times New Roman" w:hAnsi="Times New Roman" w:cs="Times New Roman"/>
          <w:i/>
          <w:sz w:val="24"/>
          <w:szCs w:val="24"/>
        </w:rPr>
        <w:t>Valeur des Exportations = Prix de vente x Quantités vendues à l’exportation.</w:t>
      </w:r>
    </w:p>
    <w:p w14:paraId="624B00D9"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r w:rsidRPr="00840E13">
        <w:rPr>
          <w:rFonts w:ascii="Times New Roman" w:hAnsi="Times New Roman" w:cs="Times New Roman"/>
          <w:i/>
          <w:sz w:val="24"/>
          <w:szCs w:val="24"/>
        </w:rPr>
        <w:t>Prix de vente = Valeur LME /LMB + Décotes qualité &amp; transport </w:t>
      </w:r>
      <w:r w:rsidRPr="00840E13">
        <w:rPr>
          <w:rFonts w:ascii="Times New Roman" w:hAnsi="Times New Roman" w:cs="Times New Roman"/>
          <w:sz w:val="24"/>
          <w:szCs w:val="24"/>
        </w:rPr>
        <w:t>;</w:t>
      </w:r>
    </w:p>
    <w:p w14:paraId="726C7692" w14:textId="77777777" w:rsidR="00157F17" w:rsidRPr="00840E13" w:rsidRDefault="00157F17" w:rsidP="00157F17">
      <w:pPr>
        <w:pStyle w:val="Paragraphedeliste"/>
        <w:widowControl w:val="0"/>
        <w:autoSpaceDE w:val="0"/>
        <w:autoSpaceDN w:val="0"/>
        <w:adjustRightInd w:val="0"/>
        <w:spacing w:before="37" w:after="0"/>
        <w:ind w:left="567" w:right="124"/>
        <w:jc w:val="both"/>
        <w:rPr>
          <w:rFonts w:ascii="Times New Roman" w:hAnsi="Times New Roman" w:cs="Times New Roman"/>
          <w:sz w:val="24"/>
          <w:szCs w:val="24"/>
        </w:rPr>
      </w:pPr>
    </w:p>
    <w:p w14:paraId="460DB4E7" w14:textId="77777777" w:rsidR="00157F17" w:rsidRPr="00840E13" w:rsidRDefault="00157F17" w:rsidP="00157F17">
      <w:pPr>
        <w:spacing w:after="120" w:line="240" w:lineRule="auto"/>
        <w:ind w:left="567"/>
        <w:jc w:val="both"/>
        <w:rPr>
          <w:rFonts w:ascii="Times New Roman" w:hAnsi="Times New Roman"/>
          <w:sz w:val="24"/>
          <w:szCs w:val="24"/>
        </w:rPr>
      </w:pPr>
      <w:r w:rsidRPr="00840E13">
        <w:rPr>
          <w:rFonts w:ascii="Times New Roman" w:hAnsi="Times New Roman"/>
          <w:sz w:val="24"/>
          <w:szCs w:val="24"/>
        </w:rPr>
        <w:t>Les parties prenantes ont recommandé au Secrétariat Technique d’insérer dans les prochains formulaires des exportations, des explications précises sur la méthode de valorisation conformément aux contrats de vente des entreprises productrices.</w:t>
      </w:r>
    </w:p>
    <w:p w14:paraId="16E1D11F" w14:textId="77777777" w:rsidR="00157F17" w:rsidRPr="00840E13" w:rsidRDefault="00157F17" w:rsidP="00157F17">
      <w:pPr>
        <w:spacing w:after="120" w:line="240" w:lineRule="auto"/>
        <w:ind w:left="567"/>
        <w:jc w:val="both"/>
        <w:rPr>
          <w:rFonts w:ascii="Times New Roman" w:hAnsi="Times New Roman"/>
          <w:sz w:val="24"/>
          <w:szCs w:val="24"/>
        </w:rPr>
      </w:pPr>
      <w:r w:rsidRPr="00840E13">
        <w:rPr>
          <w:rFonts w:ascii="Times New Roman" w:hAnsi="Times New Roman"/>
          <w:sz w:val="24"/>
          <w:szCs w:val="24"/>
        </w:rPr>
        <w:t xml:space="preserve">Pour la valorisation des produits non-standards, la GECAMINES a suggéré dans le mode de calcul que l’on ajoute la formule : </w:t>
      </w:r>
      <w:r w:rsidRPr="00840E13">
        <w:rPr>
          <w:rFonts w:ascii="Times New Roman" w:hAnsi="Times New Roman"/>
          <w:b/>
          <w:sz w:val="24"/>
          <w:szCs w:val="24"/>
        </w:rPr>
        <w:t>Prix de vente * Quantité * Valeur payable</w:t>
      </w:r>
      <w:r w:rsidRPr="00840E13">
        <w:rPr>
          <w:rFonts w:ascii="Times New Roman" w:hAnsi="Times New Roman"/>
          <w:sz w:val="24"/>
          <w:szCs w:val="24"/>
        </w:rPr>
        <w:t>.</w:t>
      </w:r>
    </w:p>
    <w:p w14:paraId="70204583" w14:textId="6FB5E4E5" w:rsidR="00051E32" w:rsidRDefault="00157F17" w:rsidP="00157F17">
      <w:pPr>
        <w:spacing w:after="120" w:line="240" w:lineRule="auto"/>
        <w:ind w:left="567"/>
        <w:jc w:val="both"/>
        <w:rPr>
          <w:rStyle w:val="Lienhypertexte"/>
        </w:rPr>
      </w:pPr>
      <w:r w:rsidRPr="00840E13">
        <w:rPr>
          <w:rFonts w:ascii="Times New Roman" w:hAnsi="Times New Roman"/>
          <w:sz w:val="24"/>
          <w:szCs w:val="24"/>
        </w:rPr>
        <w:t xml:space="preserve">La déclaration finale des parties prenantes à cet atelier est disponible </w:t>
      </w:r>
      <w:hyperlink r:id="rId45" w:history="1">
        <w:r w:rsidRPr="00E15CE1">
          <w:rPr>
            <w:rStyle w:val="Lienhypertexte"/>
            <w:rFonts w:ascii="Times New Roman" w:hAnsi="Times New Roman"/>
            <w:sz w:val="24"/>
            <w:szCs w:val="24"/>
          </w:rPr>
          <w:t>sur le site web de l’ITIE-RDC</w:t>
        </w:r>
        <w:r w:rsidRPr="00E15CE1">
          <w:rPr>
            <w:rStyle w:val="Lienhypertexte"/>
          </w:rPr>
          <w:t>.</w:t>
        </w:r>
      </w:hyperlink>
    </w:p>
    <w:p w14:paraId="17E2B7E7" w14:textId="762573BF" w:rsidR="00157F17" w:rsidRPr="001A2914" w:rsidRDefault="00051E32" w:rsidP="00157F17">
      <w:pPr>
        <w:spacing w:after="120" w:line="240" w:lineRule="auto"/>
        <w:ind w:left="567"/>
        <w:jc w:val="both"/>
      </w:pPr>
      <w:r>
        <w:rPr>
          <w:noProof/>
          <w:lang w:eastAsia="fr-FR"/>
        </w:rPr>
        <mc:AlternateContent>
          <mc:Choice Requires="wps">
            <w:drawing>
              <wp:anchor distT="0" distB="0" distL="114300" distR="114300" simplePos="0" relativeHeight="251662336" behindDoc="0" locked="0" layoutInCell="1" allowOverlap="1" wp14:anchorId="15D653B6" wp14:editId="607A1D9A">
                <wp:simplePos x="0" y="0"/>
                <wp:positionH relativeFrom="column">
                  <wp:posOffset>272838</wp:posOffset>
                </wp:positionH>
                <wp:positionV relativeFrom="paragraph">
                  <wp:posOffset>78952</wp:posOffset>
                </wp:positionV>
                <wp:extent cx="5567363" cy="1257300"/>
                <wp:effectExtent l="0" t="0" r="14605" b="19050"/>
                <wp:wrapNone/>
                <wp:docPr id="14" name="Zone de texte 14"/>
                <wp:cNvGraphicFramePr/>
                <a:graphic xmlns:a="http://schemas.openxmlformats.org/drawingml/2006/main">
                  <a:graphicData uri="http://schemas.microsoft.com/office/word/2010/wordprocessingShape">
                    <wps:wsp>
                      <wps:cNvSpPr txBox="1"/>
                      <wps:spPr>
                        <a:xfrm>
                          <a:off x="0" y="0"/>
                          <a:ext cx="5567363" cy="1257300"/>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D867C88" w14:textId="773209DE" w:rsidR="00553BF2" w:rsidRDefault="00553BF2" w:rsidP="00051E3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60589832" w14:textId="1C5AA186" w:rsidR="00553BF2" w:rsidRPr="00051E32" w:rsidRDefault="00553BF2" w:rsidP="00051E3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0B3D83CF" w14:textId="0F19CE87" w:rsidR="00553BF2" w:rsidRPr="008C6D8D" w:rsidRDefault="00553BF2" w:rsidP="00B50BF9">
                            <w:pPr>
                              <w:pStyle w:val="Paragraphedeliste"/>
                              <w:spacing w:after="0"/>
                              <w:ind w:left="0"/>
                              <w:jc w:val="both"/>
                              <w:rPr>
                                <w:rFonts w:ascii="Times New Roman" w:hAnsi="Times New Roman"/>
                                <w:color w:val="3B3838" w:themeColor="background2" w:themeShade="40"/>
                                <w:sz w:val="24"/>
                                <w:szCs w:val="24"/>
                              </w:rPr>
                            </w:pPr>
                            <w:r w:rsidRPr="008C6D8D">
                              <w:rPr>
                                <w:rFonts w:ascii="Times New Roman" w:hAnsi="Times New Roman"/>
                                <w:color w:val="3B3838" w:themeColor="background2" w:themeShade="40"/>
                                <w:sz w:val="24"/>
                                <w:szCs w:val="24"/>
                              </w:rPr>
                              <w:t>Améliorer les formulaires de déclaration des statistiques de production et des exportations en permettant aux entreprises de saisir la méthode de valorisation de leurs exportations conformément aux contrats de vente</w:t>
                            </w:r>
                            <w:r>
                              <w:rPr>
                                <w:rFonts w:ascii="Times New Roman" w:hAnsi="Times New Roman"/>
                                <w:color w:val="3B3838" w:themeColor="background2" w:themeShade="40"/>
                                <w:sz w:val="24"/>
                                <w:szCs w:val="24"/>
                              </w:rPr>
                              <w:t>.</w:t>
                            </w:r>
                          </w:p>
                          <w:p w14:paraId="63EB3CAA" w14:textId="77777777" w:rsidR="00553BF2" w:rsidRPr="008C6D8D" w:rsidRDefault="00553BF2" w:rsidP="008C6D8D">
                            <w:pPr>
                              <w:pStyle w:val="Paragraphedeliste"/>
                              <w:spacing w:after="0"/>
                              <w:ind w:left="786"/>
                              <w:jc w:val="both"/>
                              <w:rPr>
                                <w:rFonts w:ascii="Times New Roman" w:hAnsi="Times New Roman"/>
                                <w:color w:val="323E4F" w:themeColor="text2" w:themeShade="BF"/>
                                <w:sz w:val="24"/>
                                <w:szCs w:val="24"/>
                              </w:rPr>
                            </w:pPr>
                          </w:p>
                          <w:p w14:paraId="09988037" w14:textId="77777777" w:rsidR="00553BF2" w:rsidRPr="008C6D8D" w:rsidRDefault="00553BF2" w:rsidP="000738D3">
                            <w:pPr>
                              <w:pStyle w:val="Paragraphedeliste"/>
                              <w:numPr>
                                <w:ilvl w:val="0"/>
                                <w:numId w:val="60"/>
                              </w:numPr>
                              <w:spacing w:after="0"/>
                              <w:jc w:val="both"/>
                              <w:rPr>
                                <w:rFonts w:ascii="Times New Roman" w:hAnsi="Times New Roman"/>
                                <w:color w:val="323E4F" w:themeColor="text2" w:themeShade="BF"/>
                                <w:sz w:val="24"/>
                                <w:szCs w:val="24"/>
                              </w:rPr>
                            </w:pPr>
                          </w:p>
                          <w:p w14:paraId="151FAB59" w14:textId="77777777" w:rsidR="00553BF2" w:rsidRDefault="00553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D653B6" id="Zone de texte 14" o:spid="_x0000_s1032" type="#_x0000_t202" style="position:absolute;left:0;text-align:left;margin-left:21.5pt;margin-top:6.2pt;width:438.4pt;height:9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" fillcolor="#deeaf6 [660]" strokecolor="#deeaf6 [660]" strokeweight=".5pt">
                <v:textbox>
                  <w:txbxContent>
                    <w:p w14:paraId="0D867C88" w14:textId="773209DE" w:rsidR="00553BF2" w:rsidRDefault="00553BF2" w:rsidP="00051E32">
                      <w:pPr>
                        <w:spacing w:after="0" w:line="360" w:lineRule="auto"/>
                        <w:jc w:val="both"/>
                        <w:rPr>
                          <w:rFonts w:ascii="Times New Roman" w:hAnsi="Times New Roman"/>
                          <w:color w:val="FF0000"/>
                          <w:sz w:val="24"/>
                          <w:szCs w:val="24"/>
                        </w:rPr>
                      </w:pPr>
                      <w:r w:rsidRPr="00051E32">
                        <w:rPr>
                          <w:rFonts w:ascii="Times New Roman" w:hAnsi="Times New Roman"/>
                          <w:b/>
                          <w:color w:val="1F3864" w:themeColor="accent5" w:themeShade="80"/>
                          <w:sz w:val="24"/>
                          <w:szCs w:val="24"/>
                          <w:u w:val="single"/>
                        </w:rPr>
                        <w:t>Recommandation</w:t>
                      </w:r>
                      <w:r>
                        <w:rPr>
                          <w:rFonts w:ascii="Times New Roman" w:hAnsi="Times New Roman"/>
                          <w:color w:val="323E4F" w:themeColor="text2" w:themeShade="BF"/>
                          <w:sz w:val="24"/>
                          <w:szCs w:val="24"/>
                        </w:rPr>
                        <w:t>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60589832" w14:textId="1C5AA186" w:rsidR="00553BF2" w:rsidRPr="00051E32" w:rsidRDefault="00553BF2" w:rsidP="00051E32">
                      <w:pPr>
                        <w:spacing w:after="0" w:line="360" w:lineRule="auto"/>
                        <w:jc w:val="both"/>
                        <w:rPr>
                          <w:rFonts w:ascii="Times New Roman" w:hAnsi="Times New Roman"/>
                          <w:color w:val="3B3838" w:themeColor="background2" w:themeShade="40"/>
                          <w:sz w:val="24"/>
                          <w:szCs w:val="24"/>
                        </w:rPr>
                      </w:pPr>
                      <w:r w:rsidRPr="00051E32">
                        <w:rPr>
                          <w:rFonts w:ascii="Times New Roman" w:hAnsi="Times New Roman"/>
                          <w:b/>
                          <w:color w:val="3B3838" w:themeColor="background2" w:themeShade="40"/>
                          <w:sz w:val="24"/>
                          <w:szCs w:val="24"/>
                        </w:rPr>
                        <w:t>Au Comité Exécutif</w:t>
                      </w:r>
                      <w:r>
                        <w:rPr>
                          <w:rFonts w:ascii="Times New Roman" w:hAnsi="Times New Roman"/>
                          <w:b/>
                          <w:color w:val="3B3838" w:themeColor="background2" w:themeShade="40"/>
                          <w:sz w:val="24"/>
                          <w:szCs w:val="24"/>
                        </w:rPr>
                        <w:t xml:space="preserve"> de</w:t>
                      </w:r>
                      <w:r w:rsidRPr="00051E32">
                        <w:rPr>
                          <w:rFonts w:ascii="Times New Roman" w:hAnsi="Times New Roman"/>
                          <w:color w:val="3B3838" w:themeColor="background2" w:themeShade="40"/>
                          <w:sz w:val="24"/>
                          <w:szCs w:val="24"/>
                        </w:rPr>
                        <w:t xml:space="preserve"> : </w:t>
                      </w:r>
                    </w:p>
                    <w:p w14:paraId="0B3D83CF" w14:textId="0F19CE87" w:rsidR="00553BF2" w:rsidRPr="008C6D8D" w:rsidRDefault="00553BF2" w:rsidP="00B50BF9">
                      <w:pPr>
                        <w:pStyle w:val="Paragraphedeliste"/>
                        <w:spacing w:after="0"/>
                        <w:ind w:left="0"/>
                        <w:jc w:val="both"/>
                        <w:rPr>
                          <w:rFonts w:ascii="Times New Roman" w:hAnsi="Times New Roman"/>
                          <w:color w:val="3B3838" w:themeColor="background2" w:themeShade="40"/>
                          <w:sz w:val="24"/>
                          <w:szCs w:val="24"/>
                        </w:rPr>
                      </w:pPr>
                      <w:r w:rsidRPr="008C6D8D">
                        <w:rPr>
                          <w:rFonts w:ascii="Times New Roman" w:hAnsi="Times New Roman"/>
                          <w:color w:val="3B3838" w:themeColor="background2" w:themeShade="40"/>
                          <w:sz w:val="24"/>
                          <w:szCs w:val="24"/>
                        </w:rPr>
                        <w:t>Améliorer les formulaires de déclaration des statistiques de production et des exportations en permettant aux entreprises de saisir la méthode de valorisation de leurs exportations conformément aux contrats de vente</w:t>
                      </w:r>
                      <w:r>
                        <w:rPr>
                          <w:rFonts w:ascii="Times New Roman" w:hAnsi="Times New Roman"/>
                          <w:color w:val="3B3838" w:themeColor="background2" w:themeShade="40"/>
                          <w:sz w:val="24"/>
                          <w:szCs w:val="24"/>
                        </w:rPr>
                        <w:t>.</w:t>
                      </w:r>
                    </w:p>
                    <w:p w14:paraId="63EB3CAA" w14:textId="77777777" w:rsidR="00553BF2" w:rsidRPr="008C6D8D" w:rsidRDefault="00553BF2" w:rsidP="008C6D8D">
                      <w:pPr>
                        <w:pStyle w:val="Paragraphedeliste"/>
                        <w:spacing w:after="0"/>
                        <w:ind w:left="786"/>
                        <w:jc w:val="both"/>
                        <w:rPr>
                          <w:rFonts w:ascii="Times New Roman" w:hAnsi="Times New Roman"/>
                          <w:color w:val="323E4F" w:themeColor="text2" w:themeShade="BF"/>
                          <w:sz w:val="24"/>
                          <w:szCs w:val="24"/>
                        </w:rPr>
                      </w:pPr>
                    </w:p>
                    <w:p w14:paraId="09988037" w14:textId="77777777" w:rsidR="00553BF2" w:rsidRPr="008C6D8D" w:rsidRDefault="00553BF2" w:rsidP="000738D3">
                      <w:pPr>
                        <w:pStyle w:val="Paragraphedeliste"/>
                        <w:numPr>
                          <w:ilvl w:val="0"/>
                          <w:numId w:val="60"/>
                        </w:numPr>
                        <w:spacing w:after="0"/>
                        <w:jc w:val="both"/>
                        <w:rPr>
                          <w:rFonts w:ascii="Times New Roman" w:hAnsi="Times New Roman"/>
                          <w:color w:val="323E4F" w:themeColor="text2" w:themeShade="BF"/>
                          <w:sz w:val="24"/>
                          <w:szCs w:val="24"/>
                        </w:rPr>
                      </w:pPr>
                    </w:p>
                    <w:p w14:paraId="151FAB59" w14:textId="77777777" w:rsidR="00553BF2" w:rsidRDefault="00553BF2"/>
                  </w:txbxContent>
                </v:textbox>
              </v:shape>
            </w:pict>
          </mc:Fallback>
        </mc:AlternateContent>
      </w:r>
    </w:p>
    <w:p w14:paraId="211795B9" w14:textId="77777777" w:rsidR="00553F42" w:rsidRDefault="00553F42">
      <w:r>
        <w:br w:type="page"/>
      </w:r>
    </w:p>
    <w:p w14:paraId="20D799AC" w14:textId="515DFEDA" w:rsidR="00495B53" w:rsidRPr="00753CBE" w:rsidRDefault="00B41722" w:rsidP="000668F9">
      <w:pPr>
        <w:pStyle w:val="Titre1"/>
        <w:numPr>
          <w:ilvl w:val="0"/>
          <w:numId w:val="4"/>
        </w:numPr>
        <w:ind w:left="426" w:hanging="425"/>
        <w:rPr>
          <w:rFonts w:ascii="Times New Roman" w:hAnsi="Times New Roman" w:cs="Times New Roman"/>
          <w:sz w:val="28"/>
          <w:szCs w:val="28"/>
        </w:rPr>
      </w:pPr>
      <w:bookmarkStart w:id="160" w:name="_Toc516764333"/>
      <w:bookmarkStart w:id="161" w:name="_Toc518468090"/>
      <w:r w:rsidRPr="00753CBE">
        <w:rPr>
          <w:rFonts w:ascii="Times New Roman" w:hAnsi="Times New Roman" w:cs="Times New Roman"/>
          <w:caps w:val="0"/>
          <w:sz w:val="28"/>
          <w:szCs w:val="28"/>
        </w:rPr>
        <w:lastRenderedPageBreak/>
        <w:t>TRANSFERTS INFRANATIONAUX</w:t>
      </w:r>
      <w:bookmarkEnd w:id="160"/>
      <w:bookmarkEnd w:id="161"/>
    </w:p>
    <w:p w14:paraId="0A2F2F8F" w14:textId="77777777" w:rsidR="00495B53" w:rsidRPr="00481D71" w:rsidRDefault="00495B53" w:rsidP="00753CBE">
      <w:pPr>
        <w:spacing w:after="120"/>
        <w:ind w:left="142"/>
        <w:jc w:val="both"/>
        <w:rPr>
          <w:rFonts w:ascii="Times New Roman" w:hAnsi="Times New Roman"/>
          <w:sz w:val="24"/>
          <w:szCs w:val="24"/>
        </w:rPr>
      </w:pPr>
      <w:r w:rsidRPr="00481D71">
        <w:rPr>
          <w:rFonts w:ascii="Times New Roman" w:hAnsi="Times New Roman"/>
          <w:sz w:val="24"/>
          <w:szCs w:val="24"/>
        </w:rPr>
        <w:t>Les transferts infranationaux sont les parts des recettes perçues des entreprises extractives, que le Gouvernement central rétrocède directement aux provinces et indirectement aux entités territoriales décentralisées (ETD)</w:t>
      </w:r>
      <w:r w:rsidRPr="00481D71">
        <w:rPr>
          <w:rFonts w:ascii="Times New Roman" w:hAnsi="Times New Roman"/>
          <w:i/>
          <w:sz w:val="24"/>
          <w:szCs w:val="24"/>
        </w:rPr>
        <w:t>.</w:t>
      </w:r>
    </w:p>
    <w:p w14:paraId="4F402CC8" w14:textId="77777777" w:rsidR="00495B53" w:rsidRDefault="00495B53" w:rsidP="00753CBE">
      <w:pPr>
        <w:spacing w:after="120"/>
        <w:ind w:left="142"/>
        <w:jc w:val="both"/>
        <w:rPr>
          <w:rFonts w:ascii="Times New Roman" w:hAnsi="Times New Roman"/>
          <w:sz w:val="24"/>
          <w:szCs w:val="24"/>
        </w:rPr>
      </w:pPr>
      <w:r w:rsidRPr="00481D71">
        <w:rPr>
          <w:rFonts w:ascii="Times New Roman" w:hAnsi="Times New Roman"/>
          <w:sz w:val="24"/>
          <w:szCs w:val="24"/>
        </w:rPr>
        <w:t>Ces recettes constituent une source importante de revenu tant pour les provinces que pour les ETD. Leur divulgation a pour effet de rendre redevables les autorités vis-à-vis des administrés, et aussi d’informer les parties prenantes afin de susciter le débat sur les avantages que tirent les communautés locales de l’activité extractive.</w:t>
      </w:r>
    </w:p>
    <w:p w14:paraId="6C02D875" w14:textId="77777777" w:rsidR="00495B53" w:rsidRPr="00481D71" w:rsidRDefault="00495B53" w:rsidP="00495B53">
      <w:pPr>
        <w:spacing w:after="120"/>
        <w:jc w:val="both"/>
        <w:rPr>
          <w:rFonts w:ascii="Times New Roman" w:hAnsi="Times New Roman"/>
          <w:sz w:val="24"/>
          <w:szCs w:val="24"/>
        </w:rPr>
      </w:pPr>
    </w:p>
    <w:p w14:paraId="4436FE9C" w14:textId="77777777" w:rsidR="00495B53" w:rsidRPr="00753CBE" w:rsidRDefault="00495B53" w:rsidP="00753CBE">
      <w:pPr>
        <w:spacing w:after="120"/>
        <w:ind w:left="142"/>
        <w:jc w:val="both"/>
        <w:rPr>
          <w:rFonts w:ascii="Times New Roman" w:hAnsi="Times New Roman"/>
          <w:b/>
        </w:rPr>
      </w:pPr>
      <w:r w:rsidRPr="00753CBE">
        <w:rPr>
          <w:rFonts w:ascii="Times New Roman" w:hAnsi="Times New Roman"/>
          <w:b/>
        </w:rPr>
        <w:t>Schéma paiements et transferts infranationaux</w:t>
      </w:r>
    </w:p>
    <w:p w14:paraId="0CD27520" w14:textId="77777777" w:rsidR="00495B53" w:rsidRPr="00481D71" w:rsidRDefault="00495B53" w:rsidP="00495B53">
      <w:pPr>
        <w:spacing w:after="120"/>
        <w:jc w:val="both"/>
        <w:rPr>
          <w:rFonts w:ascii="Times New Roman" w:hAnsi="Times New Roman"/>
          <w:color w:val="FF0000"/>
        </w:rPr>
      </w:pPr>
      <w:r w:rsidRPr="00481D71">
        <w:rPr>
          <w:rFonts w:ascii="Times New Roman" w:hAnsi="Times New Roman"/>
          <w:noProof/>
          <w:lang w:eastAsia="fr-FR"/>
        </w:rPr>
        <w:drawing>
          <wp:inline distT="0" distB="0" distL="0" distR="0" wp14:anchorId="7490B012" wp14:editId="150C250A">
            <wp:extent cx="5897880" cy="2605920"/>
            <wp:effectExtent l="152400" t="171450" r="160020" b="1568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18158" cy="261488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E406EC" w14:textId="77777777" w:rsidR="00495B53" w:rsidRPr="00481D71" w:rsidRDefault="00495B53" w:rsidP="00495B53">
      <w:pPr>
        <w:spacing w:after="120"/>
        <w:rPr>
          <w:rFonts w:ascii="Times New Roman" w:hAnsi="Times New Roman"/>
          <w:b/>
          <w:bCs/>
          <w:i/>
          <w:iCs/>
          <w:color w:val="0070C0"/>
          <w:sz w:val="24"/>
        </w:rPr>
      </w:pPr>
    </w:p>
    <w:p w14:paraId="46EA4B59" w14:textId="2BE2EADF" w:rsidR="00495B53" w:rsidRPr="00200105" w:rsidRDefault="00200105" w:rsidP="00200105">
      <w:pPr>
        <w:pStyle w:val="Titre2"/>
        <w:rPr>
          <w:rFonts w:ascii="Times New Roman" w:hAnsi="Times New Roman" w:cs="Times New Roman"/>
          <w:sz w:val="24"/>
          <w:szCs w:val="24"/>
        </w:rPr>
      </w:pPr>
      <w:bookmarkStart w:id="162" w:name="_Toc516764334"/>
      <w:bookmarkStart w:id="163" w:name="_Toc518468091"/>
      <w:r>
        <w:rPr>
          <w:rFonts w:ascii="Times New Roman" w:hAnsi="Times New Roman" w:cs="Times New Roman"/>
          <w:sz w:val="24"/>
          <w:szCs w:val="24"/>
        </w:rPr>
        <w:t>V</w:t>
      </w:r>
      <w:r w:rsidR="000668F9">
        <w:rPr>
          <w:rFonts w:ascii="Times New Roman" w:hAnsi="Times New Roman" w:cs="Times New Roman"/>
          <w:sz w:val="24"/>
          <w:szCs w:val="24"/>
        </w:rPr>
        <w:t>II</w:t>
      </w:r>
      <w:r w:rsidR="00495B53" w:rsidRPr="00200105">
        <w:rPr>
          <w:rFonts w:ascii="Times New Roman" w:hAnsi="Times New Roman" w:cs="Times New Roman"/>
          <w:sz w:val="24"/>
          <w:szCs w:val="24"/>
        </w:rPr>
        <w:t xml:space="preserve">.1. </w:t>
      </w:r>
      <w:r w:rsidR="00A22A86" w:rsidRPr="00200105">
        <w:rPr>
          <w:rFonts w:ascii="Times New Roman" w:hAnsi="Times New Roman" w:cs="Times New Roman"/>
          <w:caps w:val="0"/>
          <w:sz w:val="24"/>
          <w:szCs w:val="24"/>
        </w:rPr>
        <w:t>De la législation sur les transferts infranationaux</w:t>
      </w:r>
      <w:bookmarkEnd w:id="162"/>
      <w:bookmarkEnd w:id="163"/>
    </w:p>
    <w:p w14:paraId="25597757" w14:textId="77777777" w:rsidR="00495B53" w:rsidRPr="00200105" w:rsidRDefault="00495B53" w:rsidP="00200105">
      <w:pPr>
        <w:spacing w:after="120" w:line="276" w:lineRule="auto"/>
        <w:rPr>
          <w:rFonts w:ascii="Times New Roman" w:hAnsi="Times New Roman"/>
          <w:sz w:val="24"/>
          <w:szCs w:val="24"/>
          <w:lang w:eastAsia="fr-FR"/>
        </w:rPr>
      </w:pPr>
      <w:r w:rsidRPr="00200105">
        <w:rPr>
          <w:rFonts w:ascii="Times New Roman" w:hAnsi="Times New Roman"/>
          <w:sz w:val="24"/>
          <w:szCs w:val="24"/>
        </w:rPr>
        <w:t>L’Article 175 de la Constitution de la RDC prévoit que l</w:t>
      </w:r>
      <w:r w:rsidRPr="00200105">
        <w:rPr>
          <w:rFonts w:ascii="Times New Roman" w:hAnsi="Times New Roman"/>
          <w:sz w:val="24"/>
          <w:szCs w:val="24"/>
          <w:lang w:eastAsia="fr-FR"/>
        </w:rPr>
        <w:t xml:space="preserve">e budget des recettes et des dépenses de l'Etat à savoir celui du pouvoir central et des provinces est arrêté chaque année par une loi. Il prévoit également que la part des recettes à caractère national allouées aux provinces est établie à 40% et elle est retenue à la source. </w:t>
      </w:r>
    </w:p>
    <w:p w14:paraId="74441A05" w14:textId="77777777" w:rsidR="00495B53" w:rsidRPr="00200105" w:rsidRDefault="00495B53" w:rsidP="00200105">
      <w:pPr>
        <w:autoSpaceDE w:val="0"/>
        <w:autoSpaceDN w:val="0"/>
        <w:adjustRightInd w:val="0"/>
        <w:spacing w:after="120" w:line="276" w:lineRule="auto"/>
        <w:rPr>
          <w:rFonts w:ascii="Times New Roman" w:hAnsi="Times New Roman"/>
          <w:sz w:val="24"/>
          <w:szCs w:val="24"/>
          <w:lang w:eastAsia="fr-FR"/>
        </w:rPr>
      </w:pPr>
      <w:r w:rsidRPr="00200105">
        <w:rPr>
          <w:rFonts w:ascii="Times New Roman" w:hAnsi="Times New Roman"/>
          <w:sz w:val="24"/>
          <w:szCs w:val="24"/>
          <w:lang w:eastAsia="fr-FR"/>
        </w:rPr>
        <w:t>L’Article 242 du Code Minier tel que modifié et complété prévoit un mécanisme de partage de la redevance minière versée par le titulaire du titre minier d’exploitation au Trésor Public. Le taux et les modalités de partage sont fixés comme suit :</w:t>
      </w:r>
    </w:p>
    <w:p w14:paraId="73A734B7" w14:textId="77777777" w:rsidR="00495B53" w:rsidRPr="00200105" w:rsidRDefault="00495B53" w:rsidP="000738D3">
      <w:pPr>
        <w:pStyle w:val="Paragraphedeliste"/>
        <w:numPr>
          <w:ilvl w:val="0"/>
          <w:numId w:val="38"/>
        </w:numPr>
        <w:autoSpaceDE w:val="0"/>
        <w:autoSpaceDN w:val="0"/>
        <w:adjustRightInd w:val="0"/>
        <w:spacing w:after="0" w:line="240" w:lineRule="auto"/>
        <w:ind w:left="851"/>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50% resteront acquis au Gouvernement Central ;</w:t>
      </w:r>
    </w:p>
    <w:p w14:paraId="709E36E8" w14:textId="77777777" w:rsidR="00495B53" w:rsidRPr="00200105" w:rsidRDefault="00495B53" w:rsidP="000738D3">
      <w:pPr>
        <w:pStyle w:val="Paragraphedeliste"/>
        <w:numPr>
          <w:ilvl w:val="0"/>
          <w:numId w:val="38"/>
        </w:numPr>
        <w:autoSpaceDE w:val="0"/>
        <w:autoSpaceDN w:val="0"/>
        <w:adjustRightInd w:val="0"/>
        <w:spacing w:after="0" w:line="240" w:lineRule="auto"/>
        <w:ind w:left="851"/>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25% sont versés sur un compte désigné par l’Administration de la Province où se trouve le projet ; et</w:t>
      </w:r>
    </w:p>
    <w:p w14:paraId="00AD47D0" w14:textId="77777777" w:rsidR="00495B53" w:rsidRPr="00200105" w:rsidRDefault="00495B53" w:rsidP="000738D3">
      <w:pPr>
        <w:pStyle w:val="Paragraphedeliste"/>
        <w:numPr>
          <w:ilvl w:val="0"/>
          <w:numId w:val="38"/>
        </w:numPr>
        <w:autoSpaceDE w:val="0"/>
        <w:autoSpaceDN w:val="0"/>
        <w:adjustRightInd w:val="0"/>
        <w:spacing w:after="120" w:line="240" w:lineRule="auto"/>
        <w:ind w:left="851" w:hanging="357"/>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15% sont versés sur un compte désigné par la Ville ou le Territoire dans le ressort duquel s’opère l’exploitation.</w:t>
      </w:r>
    </w:p>
    <w:p w14:paraId="12A8AED6" w14:textId="77777777" w:rsidR="00495B53" w:rsidRPr="00200105" w:rsidRDefault="00495B53" w:rsidP="000738D3">
      <w:pPr>
        <w:pStyle w:val="Paragraphedeliste"/>
        <w:numPr>
          <w:ilvl w:val="0"/>
          <w:numId w:val="38"/>
        </w:numPr>
        <w:autoSpaceDE w:val="0"/>
        <w:autoSpaceDN w:val="0"/>
        <w:adjustRightInd w:val="0"/>
        <w:spacing w:after="120" w:line="240" w:lineRule="auto"/>
        <w:ind w:left="851" w:hanging="357"/>
        <w:contextualSpacing w:val="0"/>
        <w:jc w:val="both"/>
        <w:rPr>
          <w:rFonts w:ascii="Times New Roman" w:hAnsi="Times New Roman" w:cs="Times New Roman"/>
          <w:sz w:val="24"/>
          <w:szCs w:val="24"/>
          <w:lang w:eastAsia="fr-FR"/>
        </w:rPr>
      </w:pPr>
      <w:r w:rsidRPr="00200105">
        <w:rPr>
          <w:rFonts w:ascii="Times New Roman" w:hAnsi="Times New Roman" w:cs="Times New Roman"/>
          <w:sz w:val="24"/>
          <w:szCs w:val="24"/>
          <w:lang w:eastAsia="fr-FR"/>
        </w:rPr>
        <w:t>10% au Fond minier pour les générations futures.</w:t>
      </w:r>
    </w:p>
    <w:p w14:paraId="6C480B07" w14:textId="77777777" w:rsidR="00495B53" w:rsidRPr="00481D71" w:rsidRDefault="00495B53" w:rsidP="00495B53">
      <w:pPr>
        <w:spacing w:after="120"/>
        <w:rPr>
          <w:rFonts w:ascii="Times New Roman" w:hAnsi="Times New Roman"/>
        </w:rPr>
      </w:pPr>
    </w:p>
    <w:p w14:paraId="22DBF53B" w14:textId="3B593698" w:rsidR="00495B53" w:rsidRPr="00200105" w:rsidRDefault="00200105" w:rsidP="00200105">
      <w:pPr>
        <w:pStyle w:val="Titre2"/>
        <w:rPr>
          <w:rFonts w:ascii="Times New Roman" w:hAnsi="Times New Roman" w:cs="Times New Roman"/>
          <w:sz w:val="24"/>
          <w:szCs w:val="24"/>
        </w:rPr>
      </w:pPr>
      <w:bookmarkStart w:id="164" w:name="_Toc516764335"/>
      <w:bookmarkStart w:id="165" w:name="_Toc518468092"/>
      <w:r>
        <w:rPr>
          <w:rFonts w:ascii="Times New Roman" w:hAnsi="Times New Roman" w:cs="Times New Roman"/>
          <w:sz w:val="24"/>
          <w:szCs w:val="24"/>
        </w:rPr>
        <w:t>V</w:t>
      </w:r>
      <w:r w:rsidR="000668F9">
        <w:rPr>
          <w:rFonts w:ascii="Times New Roman" w:hAnsi="Times New Roman" w:cs="Times New Roman"/>
          <w:sz w:val="24"/>
          <w:szCs w:val="24"/>
        </w:rPr>
        <w:t>II</w:t>
      </w:r>
      <w:r w:rsidR="00495B53" w:rsidRPr="00200105">
        <w:rPr>
          <w:rFonts w:ascii="Times New Roman" w:hAnsi="Times New Roman" w:cs="Times New Roman"/>
          <w:sz w:val="24"/>
          <w:szCs w:val="24"/>
        </w:rPr>
        <w:t xml:space="preserve">.2. </w:t>
      </w:r>
      <w:r w:rsidR="00A13312" w:rsidRPr="00200105">
        <w:rPr>
          <w:rFonts w:ascii="Times New Roman" w:hAnsi="Times New Roman" w:cs="Times New Roman"/>
          <w:caps w:val="0"/>
          <w:sz w:val="24"/>
          <w:szCs w:val="24"/>
        </w:rPr>
        <w:t>De la pratique des transferts infranationaux</w:t>
      </w:r>
      <w:bookmarkEnd w:id="164"/>
      <w:bookmarkEnd w:id="165"/>
    </w:p>
    <w:p w14:paraId="6B5BA708" w14:textId="77777777" w:rsidR="00495B53" w:rsidRPr="00200105" w:rsidRDefault="00495B53" w:rsidP="00200105">
      <w:pPr>
        <w:spacing w:after="0" w:line="276" w:lineRule="auto"/>
        <w:jc w:val="both"/>
        <w:rPr>
          <w:rFonts w:ascii="Times New Roman" w:hAnsi="Times New Roman"/>
          <w:color w:val="000000" w:themeColor="text1"/>
          <w:sz w:val="24"/>
          <w:szCs w:val="24"/>
        </w:rPr>
      </w:pPr>
      <w:r w:rsidRPr="00200105">
        <w:rPr>
          <w:rFonts w:ascii="Times New Roman" w:hAnsi="Times New Roman"/>
          <w:color w:val="000000" w:themeColor="text1"/>
          <w:sz w:val="24"/>
          <w:szCs w:val="24"/>
        </w:rPr>
        <w:t>Comme l’indique le tableau ci-dessous, le Ministère des finances et la BCC, nous a transmis la part de la redevance minière rétrocédée par le Gouvernement central aux provinces, pour l’année 2016.</w:t>
      </w:r>
    </w:p>
    <w:p w14:paraId="3623CC80" w14:textId="77777777" w:rsidR="00495B53" w:rsidRPr="00481D71" w:rsidRDefault="00495B53" w:rsidP="00495B53">
      <w:pPr>
        <w:spacing w:after="0"/>
        <w:jc w:val="both"/>
        <w:rPr>
          <w:rFonts w:ascii="Times New Roman" w:hAnsi="Times New Roman"/>
          <w:color w:val="000000" w:themeColor="text1"/>
        </w:rPr>
      </w:pPr>
    </w:p>
    <w:tbl>
      <w:tblPr>
        <w:tblStyle w:val="TableauGrille1Clair1"/>
        <w:tblW w:w="0" w:type="auto"/>
        <w:tblLook w:val="04A0" w:firstRow="1" w:lastRow="0" w:firstColumn="1" w:lastColumn="0" w:noHBand="0" w:noVBand="1"/>
      </w:tblPr>
      <w:tblGrid>
        <w:gridCol w:w="3476"/>
        <w:gridCol w:w="3372"/>
      </w:tblGrid>
      <w:tr w:rsidR="00495B53" w:rsidRPr="00481D71" w14:paraId="446CD27F" w14:textId="77777777" w:rsidTr="00200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6" w:type="dxa"/>
          </w:tcPr>
          <w:p w14:paraId="1669283D" w14:textId="77777777" w:rsidR="00495B53" w:rsidRPr="00481D71" w:rsidRDefault="00495B53" w:rsidP="00F000B0">
            <w:pPr>
              <w:jc w:val="both"/>
              <w:rPr>
                <w:rFonts w:ascii="Times New Roman" w:hAnsi="Times New Roman"/>
              </w:rPr>
            </w:pPr>
            <w:r w:rsidRPr="00481D71">
              <w:rPr>
                <w:rFonts w:ascii="Times New Roman" w:hAnsi="Times New Roman"/>
              </w:rPr>
              <w:t>Bénéficiaire</w:t>
            </w:r>
          </w:p>
        </w:tc>
        <w:tc>
          <w:tcPr>
            <w:tcW w:w="3372" w:type="dxa"/>
          </w:tcPr>
          <w:p w14:paraId="5B39688D" w14:textId="77777777" w:rsidR="00495B53" w:rsidRPr="00481D71" w:rsidRDefault="00495B53"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Rétrocession de la redevance miniè</w:t>
            </w:r>
            <w:r w:rsidRPr="00731228">
              <w:rPr>
                <w:rFonts w:ascii="Times New Roman" w:hAnsi="Times New Roman"/>
              </w:rPr>
              <w:t>re aux provinces</w:t>
            </w:r>
            <w:r w:rsidRPr="00731228" w:rsidDel="00731228">
              <w:rPr>
                <w:rFonts w:ascii="Times New Roman" w:hAnsi="Times New Roman"/>
              </w:rPr>
              <w:t xml:space="preserve"> </w:t>
            </w:r>
            <w:r w:rsidRPr="00481D71">
              <w:rPr>
                <w:rFonts w:ascii="Times New Roman" w:hAnsi="Times New Roman"/>
              </w:rPr>
              <w:t>en CDF</w:t>
            </w:r>
          </w:p>
        </w:tc>
      </w:tr>
      <w:tr w:rsidR="00495B53" w:rsidRPr="00481D71" w14:paraId="524A14AF"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1DD433D8" w14:textId="77777777" w:rsidR="00495B53" w:rsidRPr="00481D71" w:rsidRDefault="00495B53" w:rsidP="00F000B0">
            <w:pPr>
              <w:jc w:val="both"/>
              <w:rPr>
                <w:rFonts w:ascii="Times New Roman" w:hAnsi="Times New Roman"/>
              </w:rPr>
            </w:pPr>
            <w:r>
              <w:rPr>
                <w:rFonts w:ascii="Times New Roman" w:hAnsi="Times New Roman"/>
              </w:rPr>
              <w:t>HAUT-</w:t>
            </w:r>
            <w:r w:rsidRPr="00481D71">
              <w:rPr>
                <w:rFonts w:ascii="Times New Roman" w:hAnsi="Times New Roman"/>
              </w:rPr>
              <w:t>UELE</w:t>
            </w:r>
          </w:p>
        </w:tc>
        <w:tc>
          <w:tcPr>
            <w:tcW w:w="3372" w:type="dxa"/>
          </w:tcPr>
          <w:p w14:paraId="70D5B9E9"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481D71">
              <w:rPr>
                <w:rFonts w:ascii="Times New Roman" w:hAnsi="Times New Roman"/>
                <w:color w:val="000000" w:themeColor="text1"/>
                <w:sz w:val="28"/>
                <w:szCs w:val="28"/>
              </w:rPr>
              <w:t>365 253 820,51</w:t>
            </w:r>
          </w:p>
        </w:tc>
      </w:tr>
      <w:tr w:rsidR="00495B53" w:rsidRPr="00481D71" w14:paraId="377E888F"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7F084CEB" w14:textId="77777777" w:rsidR="00495B53" w:rsidRPr="00481D71" w:rsidRDefault="00495B53" w:rsidP="00F000B0">
            <w:pPr>
              <w:jc w:val="both"/>
              <w:rPr>
                <w:rFonts w:ascii="Times New Roman" w:hAnsi="Times New Roman"/>
              </w:rPr>
            </w:pPr>
            <w:r>
              <w:rPr>
                <w:rFonts w:ascii="Times New Roman" w:hAnsi="Times New Roman"/>
              </w:rPr>
              <w:t>HAUT-KATANGA</w:t>
            </w:r>
          </w:p>
        </w:tc>
        <w:tc>
          <w:tcPr>
            <w:tcW w:w="3372" w:type="dxa"/>
          </w:tcPr>
          <w:p w14:paraId="7C7BE148"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rPr>
            </w:pPr>
            <w:r>
              <w:rPr>
                <w:rFonts w:ascii="Times New Roman" w:hAnsi="Times New Roman"/>
                <w:color w:val="000000" w:themeColor="text1"/>
                <w:sz w:val="28"/>
                <w:szCs w:val="28"/>
              </w:rPr>
              <w:t>629 495 487,87</w:t>
            </w:r>
          </w:p>
        </w:tc>
      </w:tr>
      <w:tr w:rsidR="00495B53" w:rsidRPr="00481D71" w14:paraId="49452D88"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0C49A41A" w14:textId="77777777" w:rsidR="00495B53" w:rsidRPr="00481D71" w:rsidRDefault="00495B53" w:rsidP="00F000B0">
            <w:pPr>
              <w:jc w:val="both"/>
              <w:rPr>
                <w:rFonts w:ascii="Times New Roman" w:hAnsi="Times New Roman"/>
              </w:rPr>
            </w:pPr>
            <w:r w:rsidRPr="00481D71">
              <w:rPr>
                <w:rFonts w:ascii="Times New Roman" w:hAnsi="Times New Roman"/>
              </w:rPr>
              <w:t>Autres Provinces</w:t>
            </w:r>
          </w:p>
        </w:tc>
        <w:tc>
          <w:tcPr>
            <w:tcW w:w="3372" w:type="dxa"/>
          </w:tcPr>
          <w:p w14:paraId="00293E3C" w14:textId="77777777" w:rsidR="00495B53" w:rsidRPr="00481D71"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481D71">
              <w:rPr>
                <w:rFonts w:ascii="Times New Roman" w:hAnsi="Times New Roman"/>
                <w:color w:val="000000" w:themeColor="text1"/>
                <w:sz w:val="28"/>
                <w:szCs w:val="28"/>
              </w:rPr>
              <w:t xml:space="preserve">1 </w:t>
            </w:r>
            <w:r>
              <w:rPr>
                <w:rFonts w:ascii="Times New Roman" w:hAnsi="Times New Roman"/>
                <w:color w:val="000000" w:themeColor="text1"/>
                <w:sz w:val="28"/>
                <w:szCs w:val="28"/>
              </w:rPr>
              <w:t>002</w:t>
            </w:r>
            <w:r w:rsidRPr="00481D71">
              <w:rPr>
                <w:rFonts w:ascii="Times New Roman" w:hAnsi="Times New Roman"/>
                <w:color w:val="000000" w:themeColor="text1"/>
                <w:sz w:val="28"/>
                <w:szCs w:val="28"/>
              </w:rPr>
              <w:t xml:space="preserve"> </w:t>
            </w:r>
            <w:r>
              <w:rPr>
                <w:rFonts w:ascii="Times New Roman" w:hAnsi="Times New Roman"/>
                <w:color w:val="000000" w:themeColor="text1"/>
                <w:sz w:val="28"/>
                <w:szCs w:val="28"/>
              </w:rPr>
              <w:t>609</w:t>
            </w:r>
            <w:r w:rsidRPr="00481D71">
              <w:rPr>
                <w:rFonts w:ascii="Times New Roman" w:hAnsi="Times New Roman"/>
                <w:color w:val="000000" w:themeColor="text1"/>
                <w:sz w:val="28"/>
                <w:szCs w:val="28"/>
              </w:rPr>
              <w:t xml:space="preserve"> </w:t>
            </w:r>
            <w:r>
              <w:rPr>
                <w:rFonts w:ascii="Times New Roman" w:hAnsi="Times New Roman"/>
                <w:color w:val="000000" w:themeColor="text1"/>
                <w:sz w:val="28"/>
                <w:szCs w:val="28"/>
              </w:rPr>
              <w:t>782</w:t>
            </w:r>
            <w:r w:rsidRPr="00481D71">
              <w:rPr>
                <w:rFonts w:ascii="Times New Roman" w:hAnsi="Times New Roman"/>
                <w:color w:val="000000" w:themeColor="text1"/>
                <w:sz w:val="28"/>
                <w:szCs w:val="28"/>
              </w:rPr>
              <w:t>,</w:t>
            </w:r>
            <w:r>
              <w:rPr>
                <w:rFonts w:ascii="Times New Roman" w:hAnsi="Times New Roman"/>
                <w:color w:val="000000" w:themeColor="text1"/>
                <w:sz w:val="28"/>
                <w:szCs w:val="28"/>
              </w:rPr>
              <w:t>80</w:t>
            </w:r>
          </w:p>
        </w:tc>
      </w:tr>
      <w:tr w:rsidR="00495B53" w:rsidRPr="00481D71" w14:paraId="03CF2CDB" w14:textId="77777777" w:rsidTr="00200105">
        <w:tc>
          <w:tcPr>
            <w:cnfStyle w:val="001000000000" w:firstRow="0" w:lastRow="0" w:firstColumn="1" w:lastColumn="0" w:oddVBand="0" w:evenVBand="0" w:oddHBand="0" w:evenHBand="0" w:firstRowFirstColumn="0" w:firstRowLastColumn="0" w:lastRowFirstColumn="0" w:lastRowLastColumn="0"/>
            <w:tcW w:w="3476" w:type="dxa"/>
          </w:tcPr>
          <w:p w14:paraId="7DF09AE9" w14:textId="77777777" w:rsidR="00495B53" w:rsidRPr="00481D71" w:rsidRDefault="00495B53" w:rsidP="00F000B0">
            <w:pPr>
              <w:jc w:val="both"/>
              <w:rPr>
                <w:rFonts w:ascii="Times New Roman" w:hAnsi="Times New Roman"/>
              </w:rPr>
            </w:pPr>
            <w:r w:rsidRPr="00481D71">
              <w:rPr>
                <w:rFonts w:ascii="Times New Roman" w:hAnsi="Times New Roman"/>
              </w:rPr>
              <w:t>TOTAL</w:t>
            </w:r>
          </w:p>
        </w:tc>
        <w:tc>
          <w:tcPr>
            <w:tcW w:w="3372" w:type="dxa"/>
          </w:tcPr>
          <w:p w14:paraId="1273E970" w14:textId="77777777" w:rsidR="00495B53" w:rsidRPr="00653129"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rPr>
            </w:pPr>
            <w:r w:rsidRPr="00653129">
              <w:rPr>
                <w:rFonts w:ascii="Times New Roman" w:hAnsi="Times New Roman"/>
                <w:color w:val="000000" w:themeColor="text1"/>
                <w:sz w:val="28"/>
                <w:szCs w:val="28"/>
              </w:rPr>
              <w:t xml:space="preserve">        1 997 359 091,18</w:t>
            </w:r>
          </w:p>
        </w:tc>
      </w:tr>
    </w:tbl>
    <w:p w14:paraId="3DF885C1" w14:textId="77777777" w:rsidR="00495B53" w:rsidRPr="00481D71" w:rsidRDefault="00495B53" w:rsidP="00495B53">
      <w:pPr>
        <w:spacing w:after="0"/>
        <w:jc w:val="both"/>
        <w:rPr>
          <w:rFonts w:ascii="Times New Roman" w:hAnsi="Times New Roman"/>
          <w:color w:val="000000" w:themeColor="text1"/>
        </w:rPr>
      </w:pPr>
    </w:p>
    <w:p w14:paraId="02301FCC" w14:textId="77777777" w:rsidR="00495B53" w:rsidRPr="00200105" w:rsidRDefault="00495B53" w:rsidP="00200105">
      <w:pPr>
        <w:spacing w:after="0" w:line="276" w:lineRule="auto"/>
        <w:jc w:val="both"/>
        <w:rPr>
          <w:rFonts w:ascii="Times New Roman" w:hAnsi="Times New Roman"/>
          <w:color w:val="000000" w:themeColor="text1"/>
          <w:sz w:val="24"/>
          <w:szCs w:val="24"/>
        </w:rPr>
      </w:pPr>
      <w:r w:rsidRPr="00200105">
        <w:rPr>
          <w:rFonts w:ascii="Times New Roman" w:hAnsi="Times New Roman"/>
          <w:color w:val="000000" w:themeColor="text1"/>
          <w:sz w:val="24"/>
          <w:szCs w:val="24"/>
        </w:rPr>
        <w:t xml:space="preserve">Il ressort de ce tableau que seules les provinces du HAUT-UELE et du HAUT-KATANGA sont nommément citées comme bénéficiaires. Jusqu’à la publication du présent rapport, la BCC n’a toujours pas transmis la ventilation par province du montant de 1 002 609 782,80 CDF . </w:t>
      </w:r>
    </w:p>
    <w:p w14:paraId="0B40910E" w14:textId="77777777" w:rsidR="00495B53" w:rsidRPr="00200105" w:rsidRDefault="00495B53" w:rsidP="00200105">
      <w:pPr>
        <w:autoSpaceDE w:val="0"/>
        <w:autoSpaceDN w:val="0"/>
        <w:adjustRightInd w:val="0"/>
        <w:spacing w:line="276" w:lineRule="auto"/>
        <w:jc w:val="both"/>
        <w:rPr>
          <w:rFonts w:ascii="Times New Roman" w:hAnsi="Times New Roman"/>
          <w:sz w:val="24"/>
          <w:szCs w:val="24"/>
        </w:rPr>
      </w:pPr>
      <w:r w:rsidRPr="00200105">
        <w:rPr>
          <w:rFonts w:ascii="Times New Roman" w:hAnsi="Times New Roman"/>
          <w:sz w:val="24"/>
          <w:szCs w:val="24"/>
        </w:rPr>
        <w:t>Par ailleurs, nous avons rapproché le transfert dû au transfert communiqué par le Ministère des Finances et la BCC pour dégager l’écart entre le montant calculé à partir de la formule de partage de revenus et le montant réellement transféré par le Gouvernement . Le résultat est repris dans le tableau ci-après :</w:t>
      </w:r>
    </w:p>
    <w:tbl>
      <w:tblPr>
        <w:tblStyle w:val="TableauGrille1Clair1"/>
        <w:tblW w:w="9716" w:type="dxa"/>
        <w:tblLook w:val="04A0" w:firstRow="1" w:lastRow="0" w:firstColumn="1" w:lastColumn="0" w:noHBand="0" w:noVBand="1"/>
      </w:tblPr>
      <w:tblGrid>
        <w:gridCol w:w="2376"/>
        <w:gridCol w:w="2014"/>
        <w:gridCol w:w="1979"/>
        <w:gridCol w:w="1931"/>
        <w:gridCol w:w="1416"/>
      </w:tblGrid>
      <w:tr w:rsidR="00200105" w:rsidRPr="00200105" w14:paraId="27029DA2" w14:textId="77777777" w:rsidTr="00200105">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709858D" w14:textId="77777777" w:rsidR="00495B53" w:rsidRPr="00200105" w:rsidRDefault="00495B53" w:rsidP="00F000B0">
            <w:pPr>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Provinces</w:t>
            </w:r>
          </w:p>
        </w:tc>
        <w:tc>
          <w:tcPr>
            <w:tcW w:w="2014" w:type="dxa"/>
            <w:noWrap/>
            <w:hideMark/>
          </w:tcPr>
          <w:p w14:paraId="53555D49"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Redevance déclarée à l’ITIE (en USD)</w:t>
            </w:r>
          </w:p>
        </w:tc>
        <w:tc>
          <w:tcPr>
            <w:tcW w:w="1979" w:type="dxa"/>
            <w:hideMark/>
          </w:tcPr>
          <w:p w14:paraId="0CE899BB"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Rétrocession due (40%)</w:t>
            </w:r>
          </w:p>
        </w:tc>
        <w:tc>
          <w:tcPr>
            <w:tcW w:w="1931" w:type="dxa"/>
            <w:hideMark/>
          </w:tcPr>
          <w:p w14:paraId="525E571A"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Rétrocession effectuée par le Gouvernement (en USD)*</w:t>
            </w:r>
          </w:p>
        </w:tc>
        <w:tc>
          <w:tcPr>
            <w:tcW w:w="1416" w:type="dxa"/>
            <w:hideMark/>
          </w:tcPr>
          <w:p w14:paraId="084054D1" w14:textId="77777777" w:rsidR="00495B53" w:rsidRPr="00200105" w:rsidRDefault="00495B53"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200105">
              <w:rPr>
                <w:rFonts w:ascii="Times New Roman" w:eastAsia="Times New Roman" w:hAnsi="Times New Roman"/>
                <w:sz w:val="20"/>
                <w:szCs w:val="20"/>
                <w:lang w:eastAsia="fr-FR"/>
              </w:rPr>
              <w:t>Ecart</w:t>
            </w:r>
          </w:p>
        </w:tc>
      </w:tr>
      <w:tr w:rsidR="00200105" w:rsidRPr="00200105" w14:paraId="511BCD02" w14:textId="77777777" w:rsidTr="00200105">
        <w:trPr>
          <w:trHeight w:val="372"/>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A66232C"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HAUT-UELE</w:t>
            </w:r>
          </w:p>
        </w:tc>
        <w:tc>
          <w:tcPr>
            <w:tcW w:w="2014" w:type="dxa"/>
            <w:noWrap/>
            <w:hideMark/>
          </w:tcPr>
          <w:p w14:paraId="2B60283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20 002 251,63   </w:t>
            </w:r>
          </w:p>
        </w:tc>
        <w:tc>
          <w:tcPr>
            <w:tcW w:w="1979" w:type="dxa"/>
            <w:hideMark/>
          </w:tcPr>
          <w:p w14:paraId="22F3F95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8 000 900,65   </w:t>
            </w:r>
          </w:p>
        </w:tc>
        <w:tc>
          <w:tcPr>
            <w:tcW w:w="1931" w:type="dxa"/>
            <w:noWrap/>
            <w:hideMark/>
          </w:tcPr>
          <w:p w14:paraId="04B2126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358 795,50   </w:t>
            </w:r>
          </w:p>
        </w:tc>
        <w:tc>
          <w:tcPr>
            <w:tcW w:w="1416" w:type="dxa"/>
            <w:hideMark/>
          </w:tcPr>
          <w:p w14:paraId="3E795E19"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7 642 105,15   </w:t>
            </w:r>
          </w:p>
        </w:tc>
      </w:tr>
      <w:tr w:rsidR="00495B53" w:rsidRPr="00200105" w14:paraId="46846A33" w14:textId="77777777" w:rsidTr="00200105">
        <w:trPr>
          <w:trHeight w:val="372"/>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2949D18"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HAUT-KATANGA &amp; LUALABA</w:t>
            </w:r>
          </w:p>
        </w:tc>
        <w:tc>
          <w:tcPr>
            <w:tcW w:w="2014" w:type="dxa"/>
            <w:noWrap/>
            <w:hideMark/>
          </w:tcPr>
          <w:p w14:paraId="0A5B739E"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33 475 889,84   </w:t>
            </w:r>
          </w:p>
        </w:tc>
        <w:tc>
          <w:tcPr>
            <w:tcW w:w="1979" w:type="dxa"/>
            <w:hideMark/>
          </w:tcPr>
          <w:p w14:paraId="716F3C5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13 390 355,93   </w:t>
            </w:r>
          </w:p>
        </w:tc>
        <w:tc>
          <w:tcPr>
            <w:tcW w:w="1931" w:type="dxa"/>
            <w:noWrap/>
            <w:hideMark/>
          </w:tcPr>
          <w:p w14:paraId="536A4ABD"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618 364,92</w:t>
            </w:r>
            <w:r w:rsidRPr="00200105">
              <w:rPr>
                <w:rFonts w:ascii="Times New Roman" w:eastAsia="Times New Roman" w:hAnsi="Times New Roman"/>
                <w:color w:val="000000"/>
                <w:sz w:val="20"/>
                <w:szCs w:val="20"/>
                <w:vertAlign w:val="superscript"/>
                <w:lang w:eastAsia="fr-FR"/>
              </w:rPr>
              <w:t>**</w:t>
            </w:r>
          </w:p>
        </w:tc>
        <w:tc>
          <w:tcPr>
            <w:tcW w:w="1416" w:type="dxa"/>
            <w:hideMark/>
          </w:tcPr>
          <w:p w14:paraId="2FC227F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12 771 991,01 </w:t>
            </w:r>
          </w:p>
        </w:tc>
      </w:tr>
      <w:tr w:rsidR="00495B53" w:rsidRPr="00200105" w14:paraId="57E70651"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0EB1233"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KASAÏ-ORIENTAL</w:t>
            </w:r>
          </w:p>
        </w:tc>
        <w:tc>
          <w:tcPr>
            <w:tcW w:w="2014" w:type="dxa"/>
            <w:noWrap/>
            <w:hideMark/>
          </w:tcPr>
          <w:p w14:paraId="3526090B"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2 316 633,51   </w:t>
            </w:r>
          </w:p>
        </w:tc>
        <w:tc>
          <w:tcPr>
            <w:tcW w:w="1979" w:type="dxa"/>
            <w:hideMark/>
          </w:tcPr>
          <w:p w14:paraId="0F35AEA9"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926 653,40   </w:t>
            </w:r>
          </w:p>
        </w:tc>
        <w:tc>
          <w:tcPr>
            <w:tcW w:w="1931" w:type="dxa"/>
            <w:vMerge w:val="restart"/>
            <w:hideMark/>
          </w:tcPr>
          <w:p w14:paraId="197A3DB2"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984 881,91</w:t>
            </w:r>
          </w:p>
        </w:tc>
        <w:tc>
          <w:tcPr>
            <w:tcW w:w="1416" w:type="dxa"/>
            <w:vMerge w:val="restart"/>
            <w:hideMark/>
          </w:tcPr>
          <w:p w14:paraId="019DA74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w:t>
            </w:r>
          </w:p>
          <w:p w14:paraId="182687C4"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w:t>
            </w:r>
          </w:p>
          <w:p w14:paraId="19331631"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17 778 641.3 </w:t>
            </w:r>
          </w:p>
        </w:tc>
      </w:tr>
      <w:tr w:rsidR="00495B53" w:rsidRPr="00200105" w14:paraId="646C65D6"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4EA2F92"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NORD-KIVU</w:t>
            </w:r>
          </w:p>
        </w:tc>
        <w:tc>
          <w:tcPr>
            <w:tcW w:w="2014" w:type="dxa"/>
            <w:noWrap/>
            <w:hideMark/>
          </w:tcPr>
          <w:p w14:paraId="372FE9F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43 869 083,95   </w:t>
            </w:r>
          </w:p>
        </w:tc>
        <w:tc>
          <w:tcPr>
            <w:tcW w:w="1979" w:type="dxa"/>
            <w:hideMark/>
          </w:tcPr>
          <w:p w14:paraId="442FF1E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17 547 633,58   </w:t>
            </w:r>
          </w:p>
        </w:tc>
        <w:tc>
          <w:tcPr>
            <w:tcW w:w="1931" w:type="dxa"/>
            <w:vMerge/>
            <w:hideMark/>
          </w:tcPr>
          <w:p w14:paraId="7E606C87" w14:textId="77777777" w:rsidR="00495B53" w:rsidRPr="00200105" w:rsidRDefault="00495B53"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c>
          <w:tcPr>
            <w:tcW w:w="1416" w:type="dxa"/>
            <w:vMerge/>
            <w:hideMark/>
          </w:tcPr>
          <w:p w14:paraId="54308508"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r>
      <w:tr w:rsidR="00495B53" w:rsidRPr="00200105" w14:paraId="5B8F7095"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D8BAC18"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TANGANYKA</w:t>
            </w:r>
          </w:p>
        </w:tc>
        <w:tc>
          <w:tcPr>
            <w:tcW w:w="2014" w:type="dxa"/>
            <w:noWrap/>
            <w:hideMark/>
          </w:tcPr>
          <w:p w14:paraId="6255D70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723 090,58   </w:t>
            </w:r>
          </w:p>
        </w:tc>
        <w:tc>
          <w:tcPr>
            <w:tcW w:w="1979" w:type="dxa"/>
            <w:hideMark/>
          </w:tcPr>
          <w:p w14:paraId="12271E3C"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 289 236,23   </w:t>
            </w:r>
          </w:p>
        </w:tc>
        <w:tc>
          <w:tcPr>
            <w:tcW w:w="1931" w:type="dxa"/>
            <w:vMerge/>
            <w:hideMark/>
          </w:tcPr>
          <w:p w14:paraId="01BF8C7D" w14:textId="77777777" w:rsidR="00495B53" w:rsidRPr="00200105" w:rsidRDefault="00495B53"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c>
          <w:tcPr>
            <w:tcW w:w="1416" w:type="dxa"/>
            <w:vMerge/>
            <w:hideMark/>
          </w:tcPr>
          <w:p w14:paraId="2C7D3CBA"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p>
        </w:tc>
      </w:tr>
      <w:tr w:rsidR="00200105" w:rsidRPr="00200105" w14:paraId="5EE2F0D6" w14:textId="77777777" w:rsidTr="00200105">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8DED9C6" w14:textId="77777777" w:rsidR="00495B53" w:rsidRPr="00200105" w:rsidRDefault="00495B53" w:rsidP="00F000B0">
            <w:pPr>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Total général</w:t>
            </w:r>
          </w:p>
        </w:tc>
        <w:tc>
          <w:tcPr>
            <w:tcW w:w="2014" w:type="dxa"/>
            <w:noWrap/>
            <w:hideMark/>
          </w:tcPr>
          <w:p w14:paraId="08554C03"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100 386 949,51</w:t>
            </w:r>
          </w:p>
        </w:tc>
        <w:tc>
          <w:tcPr>
            <w:tcW w:w="1979" w:type="dxa"/>
            <w:hideMark/>
          </w:tcPr>
          <w:p w14:paraId="4B51C2B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00105">
              <w:rPr>
                <w:rFonts w:cs="Calibri"/>
                <w:color w:val="000000"/>
                <w:sz w:val="20"/>
                <w:szCs w:val="20"/>
              </w:rPr>
              <w:t xml:space="preserve">40 154 779,79   </w:t>
            </w:r>
          </w:p>
        </w:tc>
        <w:tc>
          <w:tcPr>
            <w:tcW w:w="1931" w:type="dxa"/>
            <w:hideMark/>
          </w:tcPr>
          <w:p w14:paraId="1AA7C617"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1 962 042,33   </w:t>
            </w:r>
          </w:p>
        </w:tc>
        <w:tc>
          <w:tcPr>
            <w:tcW w:w="1416" w:type="dxa"/>
            <w:hideMark/>
          </w:tcPr>
          <w:p w14:paraId="31673181" w14:textId="77777777" w:rsidR="00495B53" w:rsidRPr="00200105" w:rsidRDefault="00495B53"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200105">
              <w:rPr>
                <w:rFonts w:ascii="Times New Roman" w:eastAsia="Times New Roman" w:hAnsi="Times New Roman"/>
                <w:color w:val="000000"/>
                <w:sz w:val="20"/>
                <w:szCs w:val="20"/>
                <w:lang w:eastAsia="fr-FR"/>
              </w:rPr>
              <w:t xml:space="preserve"> 38 192 737,46   </w:t>
            </w:r>
          </w:p>
        </w:tc>
      </w:tr>
    </w:tbl>
    <w:p w14:paraId="433E2CD1" w14:textId="77777777" w:rsidR="00495B53" w:rsidRPr="00200105" w:rsidRDefault="00495B53" w:rsidP="00495B53">
      <w:pPr>
        <w:autoSpaceDE w:val="0"/>
        <w:autoSpaceDN w:val="0"/>
        <w:adjustRightInd w:val="0"/>
        <w:spacing w:after="0" w:line="240" w:lineRule="auto"/>
        <w:jc w:val="both"/>
        <w:rPr>
          <w:rFonts w:ascii="Times New Roman" w:hAnsi="Times New Roman"/>
          <w:b/>
          <w:i/>
          <w:color w:val="404040" w:themeColor="text1" w:themeTint="BF"/>
          <w:sz w:val="18"/>
          <w:szCs w:val="18"/>
        </w:rPr>
      </w:pPr>
      <w:r w:rsidRPr="00200105">
        <w:rPr>
          <w:rFonts w:ascii="Times New Roman" w:hAnsi="Times New Roman"/>
          <w:b/>
          <w:i/>
          <w:color w:val="404040" w:themeColor="text1" w:themeTint="BF"/>
          <w:sz w:val="18"/>
          <w:szCs w:val="18"/>
        </w:rPr>
        <w:t>* taux moyen appliqué : 1018fc/1usdL</w:t>
      </w:r>
    </w:p>
    <w:p w14:paraId="434A170E" w14:textId="77777777" w:rsidR="00495B53" w:rsidRPr="00200105" w:rsidRDefault="00495B53" w:rsidP="00495B53">
      <w:pPr>
        <w:autoSpaceDE w:val="0"/>
        <w:autoSpaceDN w:val="0"/>
        <w:adjustRightInd w:val="0"/>
        <w:spacing w:after="0" w:line="240" w:lineRule="auto"/>
        <w:jc w:val="both"/>
        <w:rPr>
          <w:rFonts w:ascii="Times New Roman" w:hAnsi="Times New Roman"/>
          <w:b/>
          <w:i/>
          <w:color w:val="404040" w:themeColor="text1" w:themeTint="BF"/>
          <w:sz w:val="18"/>
          <w:szCs w:val="18"/>
        </w:rPr>
      </w:pPr>
      <w:r w:rsidRPr="00200105">
        <w:rPr>
          <w:rFonts w:ascii="Times New Roman" w:hAnsi="Times New Roman"/>
          <w:b/>
          <w:i/>
          <w:color w:val="404040" w:themeColor="text1" w:themeTint="BF"/>
          <w:sz w:val="18"/>
          <w:szCs w:val="18"/>
        </w:rPr>
        <w:t>** rétrocession reçue par le HAUT-KATANGA</w:t>
      </w:r>
    </w:p>
    <w:p w14:paraId="0C6358B8" w14:textId="77777777" w:rsidR="00200105" w:rsidRPr="00200105" w:rsidRDefault="00200105" w:rsidP="00495B53">
      <w:pPr>
        <w:autoSpaceDE w:val="0"/>
        <w:autoSpaceDN w:val="0"/>
        <w:adjustRightInd w:val="0"/>
        <w:spacing w:after="0" w:line="240" w:lineRule="auto"/>
        <w:jc w:val="both"/>
        <w:rPr>
          <w:rFonts w:ascii="Times New Roman" w:hAnsi="Times New Roman"/>
          <w:b/>
          <w:bCs/>
          <w:i/>
          <w:color w:val="404040" w:themeColor="text1" w:themeTint="BF"/>
        </w:rPr>
      </w:pPr>
    </w:p>
    <w:p w14:paraId="5A4F3C25" w14:textId="77777777" w:rsidR="00495B53" w:rsidRDefault="00495B53" w:rsidP="00495B53">
      <w:pPr>
        <w:pStyle w:val="Paragraphedeliste"/>
        <w:spacing w:after="0"/>
        <w:ind w:left="0"/>
        <w:jc w:val="both"/>
        <w:rPr>
          <w:rFonts w:ascii="Times New Roman" w:hAnsi="Times New Roman" w:cs="Times New Roman"/>
          <w:sz w:val="24"/>
          <w:szCs w:val="24"/>
        </w:rPr>
      </w:pPr>
      <w:r>
        <w:rPr>
          <w:rFonts w:ascii="Times New Roman" w:hAnsi="Times New Roman" w:cs="Times New Roman"/>
          <w:sz w:val="24"/>
          <w:szCs w:val="24"/>
        </w:rPr>
        <w:t>L</w:t>
      </w:r>
      <w:r w:rsidRPr="00481D71">
        <w:rPr>
          <w:rFonts w:ascii="Times New Roman" w:hAnsi="Times New Roman" w:cs="Times New Roman"/>
          <w:sz w:val="24"/>
          <w:szCs w:val="24"/>
        </w:rPr>
        <w:t xml:space="preserve">a rétrocession reçue par les provinces ne représente que </w:t>
      </w:r>
      <w:r>
        <w:rPr>
          <w:rFonts w:ascii="Times New Roman" w:hAnsi="Times New Roman" w:cs="Times New Roman"/>
          <w:sz w:val="24"/>
          <w:szCs w:val="24"/>
        </w:rPr>
        <w:t xml:space="preserve">4,9 </w:t>
      </w:r>
      <w:r w:rsidRPr="00481D71">
        <w:rPr>
          <w:rFonts w:ascii="Times New Roman" w:hAnsi="Times New Roman" w:cs="Times New Roman"/>
          <w:sz w:val="24"/>
          <w:szCs w:val="24"/>
        </w:rPr>
        <w:t xml:space="preserve">% de la rétrocession attendue, soit un manque à gagner de </w:t>
      </w:r>
      <w:r>
        <w:rPr>
          <w:rFonts w:ascii="Times New Roman" w:hAnsi="Times New Roman" w:cs="Times New Roman"/>
          <w:sz w:val="24"/>
          <w:szCs w:val="24"/>
        </w:rPr>
        <w:t>38</w:t>
      </w:r>
      <w:r w:rsidRPr="00481D71">
        <w:rPr>
          <w:rFonts w:ascii="Times New Roman" w:hAnsi="Times New Roman" w:cs="Times New Roman"/>
          <w:sz w:val="24"/>
          <w:szCs w:val="24"/>
        </w:rPr>
        <w:t>.</w:t>
      </w:r>
      <w:r>
        <w:rPr>
          <w:rFonts w:ascii="Times New Roman" w:hAnsi="Times New Roman" w:cs="Times New Roman"/>
          <w:sz w:val="24"/>
          <w:szCs w:val="24"/>
        </w:rPr>
        <w:t>19</w:t>
      </w:r>
      <w:r w:rsidRPr="00481D71">
        <w:rPr>
          <w:rFonts w:ascii="Times New Roman" w:hAnsi="Times New Roman" w:cs="Times New Roman"/>
          <w:sz w:val="24"/>
          <w:szCs w:val="24"/>
        </w:rPr>
        <w:t xml:space="preserve"> millions</w:t>
      </w:r>
      <w:r w:rsidR="00200105">
        <w:rPr>
          <w:rFonts w:ascii="Times New Roman" w:hAnsi="Times New Roman" w:cs="Times New Roman"/>
          <w:sz w:val="24"/>
          <w:szCs w:val="24"/>
        </w:rPr>
        <w:t xml:space="preserve"> </w:t>
      </w:r>
      <w:r w:rsidR="00200105" w:rsidRPr="00481D71">
        <w:rPr>
          <w:rFonts w:ascii="Times New Roman" w:hAnsi="Times New Roman" w:cs="Times New Roman"/>
          <w:sz w:val="24"/>
          <w:szCs w:val="24"/>
        </w:rPr>
        <w:t>USD</w:t>
      </w:r>
      <w:r w:rsidRPr="00481D71">
        <w:rPr>
          <w:rFonts w:ascii="Times New Roman" w:hAnsi="Times New Roman" w:cs="Times New Roman"/>
          <w:sz w:val="24"/>
          <w:szCs w:val="24"/>
        </w:rPr>
        <w:t xml:space="preserve"> pour les provinces. </w:t>
      </w:r>
    </w:p>
    <w:p w14:paraId="2CC34536" w14:textId="77777777" w:rsidR="00495B53" w:rsidRDefault="00495B53" w:rsidP="00495B53">
      <w:pPr>
        <w:pStyle w:val="Paragraphedeliste"/>
        <w:spacing w:after="0"/>
        <w:ind w:left="0"/>
        <w:jc w:val="both"/>
        <w:rPr>
          <w:rFonts w:ascii="Times New Roman" w:hAnsi="Times New Roman" w:cs="Times New Roman"/>
          <w:bCs/>
          <w:sz w:val="24"/>
          <w:szCs w:val="24"/>
        </w:rPr>
      </w:pPr>
    </w:p>
    <w:p w14:paraId="5A43066D" w14:textId="77777777" w:rsidR="00495B53" w:rsidRPr="00481D71" w:rsidRDefault="00495B53" w:rsidP="00495B53">
      <w:pPr>
        <w:pStyle w:val="Paragraphedeliste"/>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En 2015, le Gouvernement avait transféré à la province du KATANGA un montant forfaitaire de 9 174 328 USD au titre de la rétrocession sur la redevance minière. Contre toute attente, en 2016, pour l’ensemble des provinces bénéficiaires, le montant total transféré ne s’élève qu’à </w:t>
      </w:r>
      <w:r>
        <w:rPr>
          <w:rFonts w:ascii="Times New Roman" w:eastAsia="Times New Roman" w:hAnsi="Times New Roman" w:cs="Times New Roman"/>
          <w:color w:val="000000"/>
          <w:lang w:eastAsia="fr-FR"/>
        </w:rPr>
        <w:t>1 962 042,33 USD.</w:t>
      </w:r>
    </w:p>
    <w:p w14:paraId="585A6D52" w14:textId="77777777" w:rsidR="00495B53" w:rsidRPr="00481D71" w:rsidRDefault="00495B53" w:rsidP="00495B53">
      <w:pPr>
        <w:pStyle w:val="Paragraphedeliste"/>
        <w:spacing w:after="0"/>
        <w:jc w:val="both"/>
        <w:rPr>
          <w:rFonts w:ascii="Times New Roman" w:hAnsi="Times New Roman" w:cs="Times New Roman"/>
          <w:bCs/>
          <w:sz w:val="24"/>
          <w:szCs w:val="24"/>
        </w:rPr>
      </w:pPr>
    </w:p>
    <w:p w14:paraId="2020C7F2" w14:textId="77777777" w:rsidR="00495B53" w:rsidRPr="00481D71" w:rsidRDefault="00495B53" w:rsidP="00200105">
      <w:pPr>
        <w:autoSpaceDE w:val="0"/>
        <w:autoSpaceDN w:val="0"/>
        <w:adjustRightInd w:val="0"/>
        <w:spacing w:after="0" w:line="276" w:lineRule="auto"/>
        <w:jc w:val="both"/>
        <w:rPr>
          <w:rFonts w:ascii="Times New Roman" w:hAnsi="Times New Roman"/>
          <w:color w:val="FF0000"/>
          <w:szCs w:val="20"/>
        </w:rPr>
      </w:pPr>
      <w:r w:rsidRPr="00481D71">
        <w:rPr>
          <w:rFonts w:ascii="Times New Roman" w:hAnsi="Times New Roman"/>
          <w:sz w:val="24"/>
          <w:szCs w:val="24"/>
        </w:rPr>
        <w:t xml:space="preserve">En </w:t>
      </w:r>
      <w:r>
        <w:rPr>
          <w:rFonts w:ascii="Times New Roman" w:hAnsi="Times New Roman"/>
          <w:sz w:val="24"/>
          <w:szCs w:val="24"/>
        </w:rPr>
        <w:t xml:space="preserve">juillet </w:t>
      </w:r>
      <w:r w:rsidRPr="00481D71">
        <w:rPr>
          <w:rFonts w:ascii="Times New Roman" w:hAnsi="Times New Roman"/>
          <w:sz w:val="24"/>
          <w:szCs w:val="24"/>
        </w:rPr>
        <w:t xml:space="preserve">2016, dans le but de répondre aux recommandations de l’Administrateur Indépendant, le Comité Exécutif avait chargé un Consultant pour mener une étude afin de ressortir les raisons qui font que le Gouvernement central ne rétrocède pas ou presque pas les quotités légales de la redevance </w:t>
      </w:r>
      <w:r w:rsidRPr="00481D71">
        <w:rPr>
          <w:rFonts w:ascii="Times New Roman" w:hAnsi="Times New Roman"/>
          <w:sz w:val="24"/>
          <w:szCs w:val="24"/>
        </w:rPr>
        <w:lastRenderedPageBreak/>
        <w:t>minière aux provinces et aux ETD</w:t>
      </w:r>
      <w:r>
        <w:rPr>
          <w:rFonts w:ascii="Times New Roman" w:hAnsi="Times New Roman"/>
          <w:sz w:val="24"/>
          <w:szCs w:val="24"/>
        </w:rPr>
        <w:t>,</w:t>
      </w:r>
      <w:r w:rsidRPr="00481D71">
        <w:rPr>
          <w:rFonts w:ascii="Times New Roman" w:hAnsi="Times New Roman"/>
          <w:sz w:val="24"/>
          <w:szCs w:val="24"/>
        </w:rPr>
        <w:t xml:space="preserve"> et de proposer des solutions idoines comme la Norme l’exige. </w:t>
      </w:r>
      <w:r>
        <w:rPr>
          <w:rFonts w:ascii="Times New Roman" w:hAnsi="Times New Roman"/>
          <w:sz w:val="24"/>
          <w:szCs w:val="24"/>
        </w:rPr>
        <w:t xml:space="preserve">Le Rapport du Consultant n’est pas encore validé par le GMP. </w:t>
      </w:r>
    </w:p>
    <w:p w14:paraId="24A34AA2" w14:textId="6671B285" w:rsidR="00A13312" w:rsidRDefault="00A13312">
      <w:r>
        <w:rPr>
          <w:noProof/>
          <w:lang w:eastAsia="fr-FR"/>
        </w:rPr>
        <mc:AlternateContent>
          <mc:Choice Requires="wps">
            <w:drawing>
              <wp:anchor distT="0" distB="0" distL="114300" distR="114300" simplePos="0" relativeHeight="251663360" behindDoc="0" locked="0" layoutInCell="1" allowOverlap="1" wp14:anchorId="32DA87D0" wp14:editId="68750B5F">
                <wp:simplePos x="0" y="0"/>
                <wp:positionH relativeFrom="column">
                  <wp:posOffset>43180</wp:posOffset>
                </wp:positionH>
                <wp:positionV relativeFrom="paragraph">
                  <wp:posOffset>162560</wp:posOffset>
                </wp:positionV>
                <wp:extent cx="6229350" cy="1019175"/>
                <wp:effectExtent l="0" t="0" r="19050" b="28575"/>
                <wp:wrapNone/>
                <wp:docPr id="15" name="Zone de texte 15"/>
                <wp:cNvGraphicFramePr/>
                <a:graphic xmlns:a="http://schemas.openxmlformats.org/drawingml/2006/main">
                  <a:graphicData uri="http://schemas.microsoft.com/office/word/2010/wordprocessingShape">
                    <wps:wsp>
                      <wps:cNvSpPr txBox="1"/>
                      <wps:spPr>
                        <a:xfrm>
                          <a:off x="0" y="0"/>
                          <a:ext cx="6229350" cy="1019175"/>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E64502C" w14:textId="70F1B6E5" w:rsidR="00553BF2" w:rsidRPr="00A13312" w:rsidRDefault="00553BF2" w:rsidP="00A13312">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13312">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2B1469AB" w14:textId="77777777" w:rsidR="00553BF2" w:rsidRPr="00A13312" w:rsidRDefault="00553BF2" w:rsidP="00A13312">
                            <w:pPr>
                              <w:pStyle w:val="Paragraphedeliste"/>
                              <w:spacing w:after="0" w:line="360" w:lineRule="auto"/>
                              <w:ind w:left="0"/>
                              <w:rPr>
                                <w:rFonts w:ascii="Times New Roman" w:eastAsia="Times New Roman" w:hAnsi="Times New Roman" w:cs="Times New Roman"/>
                                <w:b/>
                                <w:color w:val="262626" w:themeColor="text1" w:themeTint="D9"/>
                                <w:sz w:val="24"/>
                                <w:szCs w:val="24"/>
                                <w:lang w:eastAsia="fr-FR"/>
                              </w:rPr>
                            </w:pPr>
                            <w:r w:rsidRPr="00A13312">
                              <w:rPr>
                                <w:rFonts w:ascii="Times New Roman" w:eastAsia="Times New Roman" w:hAnsi="Times New Roman" w:cs="Times New Roman"/>
                                <w:b/>
                                <w:color w:val="262626" w:themeColor="text1" w:themeTint="D9"/>
                                <w:sz w:val="24"/>
                                <w:szCs w:val="24"/>
                                <w:lang w:eastAsia="fr-FR"/>
                              </w:rPr>
                              <w:t>Aux Gouvernements Provinciaux de :</w:t>
                            </w:r>
                          </w:p>
                          <w:p w14:paraId="67CFEA81" w14:textId="67839530" w:rsidR="00553BF2" w:rsidRPr="00A13312" w:rsidRDefault="00553BF2" w:rsidP="00A13312">
                            <w:pPr>
                              <w:pStyle w:val="Paragraphedeliste"/>
                              <w:spacing w:after="0" w:line="240" w:lineRule="auto"/>
                              <w:ind w:left="0"/>
                              <w:rPr>
                                <w:rFonts w:ascii="Times New Roman" w:eastAsia="Times New Roman" w:hAnsi="Times New Roman" w:cs="Times New Roman"/>
                                <w:color w:val="262626" w:themeColor="text1" w:themeTint="D9"/>
                                <w:sz w:val="24"/>
                                <w:szCs w:val="24"/>
                                <w:lang w:eastAsia="fr-FR"/>
                              </w:rPr>
                            </w:pPr>
                            <w:r w:rsidRPr="00A13312">
                              <w:rPr>
                                <w:rFonts w:ascii="Times New Roman" w:eastAsia="Times New Roman" w:hAnsi="Times New Roman" w:cs="Times New Roman"/>
                                <w:color w:val="262626" w:themeColor="text1" w:themeTint="D9"/>
                                <w:sz w:val="24"/>
                                <w:szCs w:val="24"/>
                                <w:lang w:eastAsia="fr-FR"/>
                              </w:rPr>
                              <w:t>Transférer effectivement aux ETD, la quote-part de la redevance minière qui leur est due, conformément à la clé de répartition prévue par l’article 242 du Code minier</w:t>
                            </w:r>
                            <w:r>
                              <w:rPr>
                                <w:rFonts w:ascii="Times New Roman" w:eastAsia="Times New Roman" w:hAnsi="Times New Roman" w:cs="Times New Roman"/>
                                <w:color w:val="262626" w:themeColor="text1" w:themeTint="D9"/>
                                <w:sz w:val="24"/>
                                <w:szCs w:val="24"/>
                                <w:lang w:eastAsia="fr-FR"/>
                              </w:rPr>
                              <w:t>.</w:t>
                            </w:r>
                          </w:p>
                          <w:p w14:paraId="2DBF40FB" w14:textId="77777777" w:rsidR="00553BF2" w:rsidRDefault="00553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A87D0" id="Zone de texte 15" o:spid="_x0000_s1033" type="#_x0000_t202" style="position:absolute;margin-left:3.4pt;margin-top:12.8pt;width:490.5pt;height:8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" fillcolor="#deeaf6 [660]" strokecolor="#deeaf6 [660]" strokeweight=".5pt">
                <v:textbox>
                  <w:txbxContent>
                    <w:p w14:paraId="2E64502C" w14:textId="70F1B6E5" w:rsidR="00553BF2" w:rsidRPr="00A13312" w:rsidRDefault="00553BF2" w:rsidP="00A13312">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13312">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2B1469AB" w14:textId="77777777" w:rsidR="00553BF2" w:rsidRPr="00A13312" w:rsidRDefault="00553BF2" w:rsidP="00A13312">
                      <w:pPr>
                        <w:pStyle w:val="Paragraphedeliste"/>
                        <w:spacing w:after="0" w:line="360" w:lineRule="auto"/>
                        <w:ind w:left="0"/>
                        <w:rPr>
                          <w:rFonts w:ascii="Times New Roman" w:eastAsia="Times New Roman" w:hAnsi="Times New Roman" w:cs="Times New Roman"/>
                          <w:b/>
                          <w:color w:val="262626" w:themeColor="text1" w:themeTint="D9"/>
                          <w:sz w:val="24"/>
                          <w:szCs w:val="24"/>
                          <w:lang w:eastAsia="fr-FR"/>
                        </w:rPr>
                      </w:pPr>
                      <w:r w:rsidRPr="00A13312">
                        <w:rPr>
                          <w:rFonts w:ascii="Times New Roman" w:eastAsia="Times New Roman" w:hAnsi="Times New Roman" w:cs="Times New Roman"/>
                          <w:b/>
                          <w:color w:val="262626" w:themeColor="text1" w:themeTint="D9"/>
                          <w:sz w:val="24"/>
                          <w:szCs w:val="24"/>
                          <w:lang w:eastAsia="fr-FR"/>
                        </w:rPr>
                        <w:t>Aux Gouvernements Provinciaux de :</w:t>
                      </w:r>
                    </w:p>
                    <w:p w14:paraId="67CFEA81" w14:textId="67839530" w:rsidR="00553BF2" w:rsidRPr="00A13312" w:rsidRDefault="00553BF2" w:rsidP="00A13312">
                      <w:pPr>
                        <w:pStyle w:val="Paragraphedeliste"/>
                        <w:spacing w:after="0" w:line="240" w:lineRule="auto"/>
                        <w:ind w:left="0"/>
                        <w:rPr>
                          <w:rFonts w:ascii="Times New Roman" w:eastAsia="Times New Roman" w:hAnsi="Times New Roman" w:cs="Times New Roman"/>
                          <w:color w:val="262626" w:themeColor="text1" w:themeTint="D9"/>
                          <w:sz w:val="24"/>
                          <w:szCs w:val="24"/>
                          <w:lang w:eastAsia="fr-FR"/>
                        </w:rPr>
                      </w:pPr>
                      <w:r w:rsidRPr="00A13312">
                        <w:rPr>
                          <w:rFonts w:ascii="Times New Roman" w:eastAsia="Times New Roman" w:hAnsi="Times New Roman" w:cs="Times New Roman"/>
                          <w:color w:val="262626" w:themeColor="text1" w:themeTint="D9"/>
                          <w:sz w:val="24"/>
                          <w:szCs w:val="24"/>
                          <w:lang w:eastAsia="fr-FR"/>
                        </w:rPr>
                        <w:t>Transférer effectivement aux ETD, la quote-part de la redevance minière qui leur est due, conformément à la clé de répartition prévue par l’article 242 du Code minier</w:t>
                      </w:r>
                      <w:r>
                        <w:rPr>
                          <w:rFonts w:ascii="Times New Roman" w:eastAsia="Times New Roman" w:hAnsi="Times New Roman" w:cs="Times New Roman"/>
                          <w:color w:val="262626" w:themeColor="text1" w:themeTint="D9"/>
                          <w:sz w:val="24"/>
                          <w:szCs w:val="24"/>
                          <w:lang w:eastAsia="fr-FR"/>
                        </w:rPr>
                        <w:t>.</w:t>
                      </w:r>
                    </w:p>
                    <w:p w14:paraId="2DBF40FB" w14:textId="77777777" w:rsidR="00553BF2" w:rsidRDefault="00553BF2"/>
                  </w:txbxContent>
                </v:textbox>
              </v:shape>
            </w:pict>
          </mc:Fallback>
        </mc:AlternateContent>
      </w:r>
      <w:r>
        <w:br w:type="page"/>
      </w:r>
    </w:p>
    <w:p w14:paraId="2AAA365A" w14:textId="6B3714EE" w:rsidR="00E54F1D" w:rsidRDefault="00B41722" w:rsidP="000668F9">
      <w:pPr>
        <w:pStyle w:val="Titre1"/>
        <w:numPr>
          <w:ilvl w:val="0"/>
          <w:numId w:val="4"/>
        </w:numPr>
        <w:ind w:left="426" w:hanging="425"/>
        <w:rPr>
          <w:rFonts w:ascii="Times New Roman" w:hAnsi="Times New Roman" w:cs="Times New Roman"/>
          <w:sz w:val="28"/>
          <w:szCs w:val="28"/>
        </w:rPr>
      </w:pPr>
      <w:bookmarkStart w:id="166" w:name="_Toc516764336"/>
      <w:bookmarkStart w:id="167" w:name="_Toc518468093"/>
      <w:r w:rsidRPr="00F000B0">
        <w:rPr>
          <w:rFonts w:ascii="Times New Roman" w:hAnsi="Times New Roman" w:cs="Times New Roman"/>
          <w:caps w:val="0"/>
          <w:sz w:val="28"/>
          <w:szCs w:val="28"/>
        </w:rPr>
        <w:lastRenderedPageBreak/>
        <w:t>CONTRIBU</w:t>
      </w:r>
      <w:r>
        <w:rPr>
          <w:rFonts w:ascii="Times New Roman" w:hAnsi="Times New Roman" w:cs="Times New Roman"/>
          <w:caps w:val="0"/>
          <w:sz w:val="28"/>
          <w:szCs w:val="28"/>
        </w:rPr>
        <w:t>TION SOCIALE ET ECONOMIQUE DU SECTEUR EXTRACTIF</w:t>
      </w:r>
      <w:bookmarkEnd w:id="166"/>
      <w:bookmarkEnd w:id="167"/>
    </w:p>
    <w:p w14:paraId="452E6BD6" w14:textId="49658846" w:rsidR="00005C6E" w:rsidRPr="00005C6E" w:rsidRDefault="00005C6E" w:rsidP="00E23E97">
      <w:pPr>
        <w:jc w:val="both"/>
        <w:rPr>
          <w:rFonts w:ascii="Times New Roman" w:hAnsi="Times New Roman"/>
          <w:sz w:val="24"/>
          <w:szCs w:val="24"/>
        </w:rPr>
      </w:pPr>
      <w:r w:rsidRPr="00005C6E">
        <w:rPr>
          <w:rFonts w:ascii="Times New Roman" w:hAnsi="Times New Roman"/>
          <w:sz w:val="24"/>
          <w:szCs w:val="24"/>
        </w:rPr>
        <w:t>La contribution</w:t>
      </w:r>
      <w:r>
        <w:rPr>
          <w:rFonts w:ascii="Times New Roman" w:hAnsi="Times New Roman"/>
          <w:sz w:val="24"/>
          <w:szCs w:val="24"/>
        </w:rPr>
        <w:t xml:space="preserve"> sociale et économique du s</w:t>
      </w:r>
      <w:r w:rsidRPr="00005C6E">
        <w:rPr>
          <w:rFonts w:ascii="Times New Roman" w:hAnsi="Times New Roman"/>
          <w:sz w:val="24"/>
          <w:szCs w:val="24"/>
        </w:rPr>
        <w:t xml:space="preserve">ecteur extractif porte principalement sur </w:t>
      </w:r>
      <w:r>
        <w:rPr>
          <w:rFonts w:ascii="Times New Roman" w:hAnsi="Times New Roman"/>
          <w:sz w:val="24"/>
          <w:szCs w:val="24"/>
        </w:rPr>
        <w:t>les investissements sociaux des entreprises au profit des communautés</w:t>
      </w:r>
      <w:r w:rsidR="00E23E97">
        <w:rPr>
          <w:rFonts w:ascii="Times New Roman" w:hAnsi="Times New Roman"/>
          <w:sz w:val="24"/>
          <w:szCs w:val="24"/>
        </w:rPr>
        <w:t xml:space="preserve"> locales</w:t>
      </w:r>
      <w:r>
        <w:rPr>
          <w:rFonts w:ascii="Times New Roman" w:hAnsi="Times New Roman"/>
          <w:sz w:val="24"/>
          <w:szCs w:val="24"/>
        </w:rPr>
        <w:t xml:space="preserve"> affect</w:t>
      </w:r>
      <w:r w:rsidR="00E23E97">
        <w:rPr>
          <w:rFonts w:ascii="Times New Roman" w:hAnsi="Times New Roman"/>
          <w:sz w:val="24"/>
          <w:szCs w:val="24"/>
        </w:rPr>
        <w:t xml:space="preserve">ées ou pas par l’exploitation, la </w:t>
      </w:r>
      <w:r w:rsidRPr="00005C6E">
        <w:rPr>
          <w:rFonts w:ascii="Times New Roman" w:hAnsi="Times New Roman"/>
          <w:sz w:val="24"/>
          <w:szCs w:val="24"/>
        </w:rPr>
        <w:t>formation du produit intérieur brut (PIB) et la balance commerciale, le paiement d’impôts, taxes et divers droits  revenant à l’Etat qui ali</w:t>
      </w:r>
      <w:r w:rsidR="001C6BFC">
        <w:rPr>
          <w:rFonts w:ascii="Times New Roman" w:hAnsi="Times New Roman"/>
          <w:sz w:val="24"/>
          <w:szCs w:val="24"/>
        </w:rPr>
        <w:t>mentent le Budget de ce dernier ainsi que</w:t>
      </w:r>
      <w:r w:rsidRPr="00005C6E">
        <w:rPr>
          <w:rFonts w:ascii="Times New Roman" w:hAnsi="Times New Roman"/>
          <w:sz w:val="24"/>
          <w:szCs w:val="24"/>
        </w:rPr>
        <w:t xml:space="preserve"> la création des emplois.  </w:t>
      </w:r>
    </w:p>
    <w:p w14:paraId="20EBD419" w14:textId="77777777" w:rsidR="00005C6E" w:rsidRPr="00005C6E" w:rsidRDefault="00005C6E" w:rsidP="00E23E97">
      <w:pPr>
        <w:jc w:val="both"/>
        <w:rPr>
          <w:rFonts w:ascii="Times New Roman" w:hAnsi="Times New Roman"/>
          <w:sz w:val="24"/>
          <w:szCs w:val="24"/>
        </w:rPr>
      </w:pPr>
      <w:r w:rsidRPr="00005C6E">
        <w:rPr>
          <w:rFonts w:ascii="Times New Roman" w:hAnsi="Times New Roman"/>
          <w:sz w:val="24"/>
          <w:szCs w:val="24"/>
        </w:rPr>
        <w:t xml:space="preserve">La divulgation de cette contribution permet au public de voir l’importance du secteur extractif dans le développement économique et social d’un pays.  </w:t>
      </w:r>
    </w:p>
    <w:p w14:paraId="2D25C5B6" w14:textId="4C05B863" w:rsidR="00005C6E" w:rsidRPr="00005C6E" w:rsidRDefault="00005C6E" w:rsidP="00005C6E">
      <w:pPr>
        <w:pStyle w:val="Titre2"/>
        <w:rPr>
          <w:rFonts w:ascii="Times New Roman" w:hAnsi="Times New Roman" w:cs="Times New Roman"/>
          <w:sz w:val="24"/>
          <w:szCs w:val="24"/>
        </w:rPr>
      </w:pPr>
      <w:bookmarkStart w:id="168" w:name="_Toc518468094"/>
      <w:r>
        <w:rPr>
          <w:rFonts w:ascii="Times New Roman" w:hAnsi="Times New Roman" w:cs="Times New Roman"/>
          <w:sz w:val="24"/>
          <w:szCs w:val="24"/>
        </w:rPr>
        <w:t>V</w:t>
      </w:r>
      <w:r w:rsidR="000668F9">
        <w:rPr>
          <w:rFonts w:ascii="Times New Roman" w:hAnsi="Times New Roman" w:cs="Times New Roman"/>
          <w:sz w:val="24"/>
          <w:szCs w:val="24"/>
        </w:rPr>
        <w:t>II</w:t>
      </w:r>
      <w:r>
        <w:rPr>
          <w:rFonts w:ascii="Times New Roman" w:hAnsi="Times New Roman" w:cs="Times New Roman"/>
          <w:sz w:val="24"/>
          <w:szCs w:val="24"/>
        </w:rPr>
        <w:t xml:space="preserve">I.1. </w:t>
      </w:r>
      <w:r w:rsidRPr="00005C6E">
        <w:rPr>
          <w:rFonts w:ascii="Times New Roman" w:hAnsi="Times New Roman" w:cs="Times New Roman"/>
          <w:caps w:val="0"/>
          <w:sz w:val="24"/>
          <w:szCs w:val="24"/>
        </w:rPr>
        <w:t>Dépense sociale</w:t>
      </w:r>
      <w:bookmarkEnd w:id="168"/>
    </w:p>
    <w:p w14:paraId="6E29B3BE" w14:textId="77777777" w:rsidR="00005C6E" w:rsidRPr="008614DD" w:rsidRDefault="00005C6E" w:rsidP="00005C6E">
      <w:pPr>
        <w:jc w:val="both"/>
        <w:rPr>
          <w:rFonts w:ascii="Times New Roman" w:hAnsi="Times New Roman"/>
          <w:sz w:val="24"/>
          <w:szCs w:val="24"/>
        </w:rPr>
      </w:pPr>
      <w:r w:rsidRPr="008614DD">
        <w:rPr>
          <w:rFonts w:ascii="Times New Roman" w:hAnsi="Times New Roman"/>
          <w:sz w:val="24"/>
          <w:szCs w:val="24"/>
        </w:rPr>
        <w:t>Conformément à l’exigence 6.1 de la Norme, les pays mettant en œuvre l’ITIE sont tenus de déclarer toute dépense, volontaire ou obligatoire, faite par les entreprises extractives au profit des populations locales environnant l’exploitation extractive.</w:t>
      </w:r>
    </w:p>
    <w:p w14:paraId="50E176EF" w14:textId="77777777" w:rsidR="00005C6E" w:rsidRPr="008614DD" w:rsidRDefault="00005C6E" w:rsidP="00005C6E">
      <w:pPr>
        <w:tabs>
          <w:tab w:val="left" w:pos="7350"/>
        </w:tabs>
        <w:spacing w:after="120"/>
        <w:jc w:val="both"/>
        <w:rPr>
          <w:rFonts w:ascii="Times New Roman" w:hAnsi="Times New Roman"/>
          <w:sz w:val="24"/>
          <w:szCs w:val="24"/>
        </w:rPr>
      </w:pPr>
      <w:r w:rsidRPr="008614DD">
        <w:rPr>
          <w:rFonts w:ascii="Times New Roman" w:hAnsi="Times New Roman"/>
          <w:sz w:val="24"/>
          <w:szCs w:val="24"/>
        </w:rPr>
        <w:t>Aussi, Les paiements reportés par les sociétés pétrolières au titre des dépenses sociales s’élèvent à 1 307 125 USD et sont agrégés comme suit :</w:t>
      </w:r>
    </w:p>
    <w:tbl>
      <w:tblPr>
        <w:tblStyle w:val="TableauGrille1Clair1"/>
        <w:tblW w:w="9493" w:type="dxa"/>
        <w:tblLayout w:type="fixed"/>
        <w:tblLook w:val="04A0" w:firstRow="1" w:lastRow="0" w:firstColumn="1" w:lastColumn="0" w:noHBand="0" w:noVBand="1"/>
      </w:tblPr>
      <w:tblGrid>
        <w:gridCol w:w="236"/>
        <w:gridCol w:w="3501"/>
        <w:gridCol w:w="1227"/>
        <w:gridCol w:w="1145"/>
        <w:gridCol w:w="1196"/>
        <w:gridCol w:w="907"/>
        <w:gridCol w:w="1281"/>
      </w:tblGrid>
      <w:tr w:rsidR="00005C6E" w:rsidRPr="00F000B0" w14:paraId="511B7E11" w14:textId="77777777" w:rsidTr="0054038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0" w:type="dxa"/>
          </w:tcPr>
          <w:p w14:paraId="749C92DA" w14:textId="77777777" w:rsidR="00005C6E" w:rsidRPr="00F000B0" w:rsidRDefault="00005C6E" w:rsidP="0054038F">
            <w:pPr>
              <w:jc w:val="center"/>
              <w:rPr>
                <w:rFonts w:ascii="Garamond" w:eastAsia="Times New Roman" w:hAnsi="Garamond" w:cs="Calibri"/>
                <w:b w:val="0"/>
                <w:color w:val="262626" w:themeColor="text1" w:themeTint="D9"/>
                <w:sz w:val="18"/>
                <w:szCs w:val="18"/>
                <w:lang w:eastAsia="fr-FR"/>
              </w:rPr>
            </w:pPr>
          </w:p>
        </w:tc>
        <w:tc>
          <w:tcPr>
            <w:tcW w:w="3508" w:type="dxa"/>
            <w:vMerge w:val="restart"/>
            <w:noWrap/>
            <w:vAlign w:val="center"/>
            <w:hideMark/>
          </w:tcPr>
          <w:p w14:paraId="35BAA1D8"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Entreprise</w:t>
            </w:r>
          </w:p>
        </w:tc>
        <w:tc>
          <w:tcPr>
            <w:tcW w:w="2376" w:type="dxa"/>
            <w:gridSpan w:val="2"/>
            <w:noWrap/>
            <w:hideMark/>
          </w:tcPr>
          <w:p w14:paraId="53DF9DA1"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Dépenses sociales obligatoires</w:t>
            </w:r>
          </w:p>
        </w:tc>
        <w:tc>
          <w:tcPr>
            <w:tcW w:w="2106" w:type="dxa"/>
            <w:gridSpan w:val="2"/>
            <w:noWrap/>
            <w:hideMark/>
          </w:tcPr>
          <w:p w14:paraId="44AF123D" w14:textId="77777777" w:rsidR="00005C6E" w:rsidRPr="00F000B0"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Dépenses sociales volontaires</w:t>
            </w:r>
          </w:p>
        </w:tc>
        <w:tc>
          <w:tcPr>
            <w:tcW w:w="1283" w:type="dxa"/>
            <w:vMerge w:val="restart"/>
            <w:noWrap/>
            <w:hideMark/>
          </w:tcPr>
          <w:p w14:paraId="0B5B8575" w14:textId="77777777" w:rsidR="00005C6E" w:rsidRPr="00F000B0"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262626" w:themeColor="text1" w:themeTint="D9"/>
                <w:sz w:val="18"/>
                <w:szCs w:val="18"/>
                <w:lang w:eastAsia="fr-FR"/>
              </w:rPr>
            </w:pPr>
            <w:r w:rsidRPr="00F000B0">
              <w:rPr>
                <w:rFonts w:ascii="Garamond" w:eastAsia="Times New Roman" w:hAnsi="Garamond" w:cs="Calibri"/>
                <w:color w:val="262626" w:themeColor="text1" w:themeTint="D9"/>
                <w:sz w:val="18"/>
                <w:szCs w:val="18"/>
                <w:lang w:eastAsia="fr-FR"/>
              </w:rPr>
              <w:t>Total</w:t>
            </w:r>
          </w:p>
        </w:tc>
      </w:tr>
      <w:tr w:rsidR="00005C6E" w:rsidRPr="00F000B0" w14:paraId="15A7DE47"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26C04498" w14:textId="77777777" w:rsidR="00005C6E" w:rsidRPr="00F000B0" w:rsidRDefault="00005C6E" w:rsidP="0054038F">
            <w:pPr>
              <w:rPr>
                <w:rFonts w:ascii="Garamond" w:eastAsia="Times New Roman" w:hAnsi="Garamond" w:cs="Calibri"/>
                <w:b w:val="0"/>
                <w:color w:val="262626" w:themeColor="text1" w:themeTint="D9"/>
                <w:sz w:val="18"/>
                <w:szCs w:val="18"/>
                <w:lang w:eastAsia="fr-FR"/>
              </w:rPr>
            </w:pPr>
          </w:p>
        </w:tc>
        <w:tc>
          <w:tcPr>
            <w:tcW w:w="3508" w:type="dxa"/>
            <w:vMerge/>
            <w:hideMark/>
          </w:tcPr>
          <w:p w14:paraId="39143CB5"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p>
        </w:tc>
        <w:tc>
          <w:tcPr>
            <w:tcW w:w="1229" w:type="dxa"/>
            <w:noWrap/>
            <w:hideMark/>
          </w:tcPr>
          <w:p w14:paraId="5869BC27"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numéraire</w:t>
            </w:r>
          </w:p>
        </w:tc>
        <w:tc>
          <w:tcPr>
            <w:tcW w:w="1147" w:type="dxa"/>
            <w:noWrap/>
            <w:hideMark/>
          </w:tcPr>
          <w:p w14:paraId="6B63FA2F"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nature</w:t>
            </w:r>
          </w:p>
        </w:tc>
        <w:tc>
          <w:tcPr>
            <w:tcW w:w="1198" w:type="dxa"/>
            <w:noWrap/>
            <w:hideMark/>
          </w:tcPr>
          <w:p w14:paraId="7581CAFE"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numéraire</w:t>
            </w:r>
          </w:p>
        </w:tc>
        <w:tc>
          <w:tcPr>
            <w:tcW w:w="908" w:type="dxa"/>
            <w:noWrap/>
            <w:hideMark/>
          </w:tcPr>
          <w:p w14:paraId="0F555E19"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r w:rsidRPr="00F000B0">
              <w:rPr>
                <w:rFonts w:ascii="Garamond" w:eastAsia="Times New Roman" w:hAnsi="Garamond" w:cs="Calibri"/>
                <w:b/>
                <w:color w:val="262626" w:themeColor="text1" w:themeTint="D9"/>
                <w:sz w:val="18"/>
                <w:szCs w:val="18"/>
                <w:lang w:eastAsia="fr-FR"/>
              </w:rPr>
              <w:t>En nature</w:t>
            </w:r>
          </w:p>
        </w:tc>
        <w:tc>
          <w:tcPr>
            <w:tcW w:w="1283" w:type="dxa"/>
            <w:vMerge/>
            <w:hideMark/>
          </w:tcPr>
          <w:p w14:paraId="5907A73E" w14:textId="77777777" w:rsidR="00005C6E" w:rsidRPr="00F000B0"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262626" w:themeColor="text1" w:themeTint="D9"/>
                <w:sz w:val="18"/>
                <w:szCs w:val="18"/>
                <w:lang w:eastAsia="fr-FR"/>
              </w:rPr>
            </w:pPr>
          </w:p>
        </w:tc>
      </w:tr>
      <w:tr w:rsidR="00005C6E" w:rsidRPr="00E56E0A" w14:paraId="74B9FEE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6406FAB8"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w:t>
            </w:r>
          </w:p>
        </w:tc>
        <w:tc>
          <w:tcPr>
            <w:tcW w:w="3508" w:type="dxa"/>
            <w:noWrap/>
            <w:hideMark/>
          </w:tcPr>
          <w:p w14:paraId="7ACD562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MUANDA INTERNATIONAL OIL COMPANY</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(1)</w:t>
            </w:r>
          </w:p>
        </w:tc>
        <w:tc>
          <w:tcPr>
            <w:tcW w:w="1229" w:type="dxa"/>
            <w:noWrap/>
            <w:hideMark/>
          </w:tcPr>
          <w:p w14:paraId="326E48C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4BEA6F21"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150 000</w:t>
            </w:r>
          </w:p>
        </w:tc>
        <w:tc>
          <w:tcPr>
            <w:tcW w:w="1198" w:type="dxa"/>
            <w:noWrap/>
            <w:hideMark/>
          </w:tcPr>
          <w:p w14:paraId="7BB61C5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146AA0F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59AD9F0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150 000</w:t>
            </w:r>
          </w:p>
        </w:tc>
      </w:tr>
      <w:tr w:rsidR="00005C6E" w:rsidRPr="00E56E0A" w14:paraId="10F2952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1E756C7E"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w:t>
            </w:r>
          </w:p>
        </w:tc>
        <w:tc>
          <w:tcPr>
            <w:tcW w:w="3508" w:type="dxa"/>
            <w:noWrap/>
            <w:hideMark/>
          </w:tcPr>
          <w:p w14:paraId="19CFDFA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OIL OF DR CONGO</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(2)</w:t>
            </w:r>
          </w:p>
        </w:tc>
        <w:tc>
          <w:tcPr>
            <w:tcW w:w="1229" w:type="dxa"/>
            <w:noWrap/>
            <w:hideMark/>
          </w:tcPr>
          <w:p w14:paraId="56C33D1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73 632</w:t>
            </w:r>
          </w:p>
        </w:tc>
        <w:tc>
          <w:tcPr>
            <w:tcW w:w="1147" w:type="dxa"/>
            <w:noWrap/>
            <w:hideMark/>
          </w:tcPr>
          <w:p w14:paraId="1B0B832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98" w:type="dxa"/>
            <w:noWrap/>
            <w:hideMark/>
          </w:tcPr>
          <w:p w14:paraId="23B278C9"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10D06AC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269DDB4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73 632</w:t>
            </w:r>
          </w:p>
        </w:tc>
      </w:tr>
      <w:tr w:rsidR="00005C6E" w:rsidRPr="00E56E0A" w14:paraId="386AE9F4" w14:textId="77777777" w:rsidTr="0054038F">
        <w:trPr>
          <w:trHeight w:val="567"/>
        </w:trPr>
        <w:tc>
          <w:tcPr>
            <w:cnfStyle w:val="001000000000" w:firstRow="0" w:lastRow="0" w:firstColumn="1" w:lastColumn="0" w:oddVBand="0" w:evenVBand="0" w:oddHBand="0" w:evenHBand="0" w:firstRowFirstColumn="0" w:firstRowLastColumn="0" w:lastRowFirstColumn="0" w:lastRowLastColumn="0"/>
            <w:tcW w:w="220" w:type="dxa"/>
          </w:tcPr>
          <w:p w14:paraId="4550C8E4"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3</w:t>
            </w:r>
          </w:p>
        </w:tc>
        <w:tc>
          <w:tcPr>
            <w:tcW w:w="3508" w:type="dxa"/>
            <w:noWrap/>
            <w:hideMark/>
          </w:tcPr>
          <w:p w14:paraId="4737B6D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PERENCO RECHERCHE ET EXPLOITATION PETROLIERE</w:t>
            </w:r>
            <w:r w:rsidRPr="00E56E0A">
              <w:rPr>
                <w:rFonts w:ascii="Garamond" w:eastAsia="Times New Roman" w:hAnsi="Garamond" w:cs="Calibri"/>
                <w:color w:val="000000"/>
                <w:sz w:val="18"/>
                <w:szCs w:val="18"/>
                <w:vertAlign w:val="superscript"/>
                <w:lang w:eastAsia="fr-FR"/>
              </w:rPr>
              <w:t>(3)</w:t>
            </w:r>
          </w:p>
        </w:tc>
        <w:tc>
          <w:tcPr>
            <w:tcW w:w="1229" w:type="dxa"/>
            <w:noWrap/>
            <w:hideMark/>
          </w:tcPr>
          <w:p w14:paraId="3F6EDC3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1B029F4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60 000</w:t>
            </w:r>
          </w:p>
        </w:tc>
        <w:tc>
          <w:tcPr>
            <w:tcW w:w="1198" w:type="dxa"/>
            <w:noWrap/>
            <w:hideMark/>
          </w:tcPr>
          <w:p w14:paraId="4EA4CE8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23937D7D"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6C41EE96"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60 000</w:t>
            </w:r>
          </w:p>
        </w:tc>
      </w:tr>
      <w:tr w:rsidR="00005C6E" w:rsidRPr="00E56E0A" w14:paraId="214997B6"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789DFA0C"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w:t>
            </w:r>
          </w:p>
        </w:tc>
        <w:tc>
          <w:tcPr>
            <w:tcW w:w="3508" w:type="dxa"/>
            <w:noWrap/>
            <w:hideMark/>
          </w:tcPr>
          <w:p w14:paraId="5F8E985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TOTAL E&amp;P RDC</w:t>
            </w:r>
            <w:r w:rsidRPr="00E56E0A">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vertAlign w:val="superscript"/>
                <w:lang w:eastAsia="fr-FR"/>
              </w:rPr>
              <w:t>(4)</w:t>
            </w:r>
          </w:p>
        </w:tc>
        <w:tc>
          <w:tcPr>
            <w:tcW w:w="1229" w:type="dxa"/>
            <w:noWrap/>
            <w:hideMark/>
          </w:tcPr>
          <w:p w14:paraId="7C7736B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47" w:type="dxa"/>
            <w:noWrap/>
            <w:hideMark/>
          </w:tcPr>
          <w:p w14:paraId="047B070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1 023 493</w:t>
            </w:r>
          </w:p>
        </w:tc>
        <w:tc>
          <w:tcPr>
            <w:tcW w:w="1198" w:type="dxa"/>
            <w:noWrap/>
            <w:hideMark/>
          </w:tcPr>
          <w:p w14:paraId="7EC8D3BB"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908" w:type="dxa"/>
            <w:noWrap/>
            <w:hideMark/>
          </w:tcPr>
          <w:p w14:paraId="796F9E5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83" w:type="dxa"/>
            <w:noWrap/>
            <w:hideMark/>
          </w:tcPr>
          <w:p w14:paraId="4A1BA30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1 023 493</w:t>
            </w:r>
          </w:p>
        </w:tc>
      </w:tr>
      <w:tr w:rsidR="00005C6E" w:rsidRPr="00E56E0A" w14:paraId="10B23B63"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220" w:type="dxa"/>
          </w:tcPr>
          <w:p w14:paraId="1F4DF0FE" w14:textId="77777777" w:rsidR="00005C6E" w:rsidRPr="00E56E0A" w:rsidRDefault="00005C6E" w:rsidP="0054038F">
            <w:pPr>
              <w:rPr>
                <w:rFonts w:ascii="Garamond" w:eastAsia="Times New Roman" w:hAnsi="Garamond" w:cs="Calibri"/>
                <w:color w:val="000000"/>
                <w:sz w:val="18"/>
                <w:szCs w:val="18"/>
                <w:lang w:eastAsia="fr-FR"/>
              </w:rPr>
            </w:pPr>
          </w:p>
        </w:tc>
        <w:tc>
          <w:tcPr>
            <w:tcW w:w="3508" w:type="dxa"/>
            <w:noWrap/>
          </w:tcPr>
          <w:p w14:paraId="0C230BE1"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TOTAUX</w:t>
            </w:r>
          </w:p>
        </w:tc>
        <w:tc>
          <w:tcPr>
            <w:tcW w:w="1229" w:type="dxa"/>
            <w:noWrap/>
          </w:tcPr>
          <w:p w14:paraId="378B74C8"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73 632</w:t>
            </w:r>
          </w:p>
        </w:tc>
        <w:tc>
          <w:tcPr>
            <w:tcW w:w="1147" w:type="dxa"/>
            <w:noWrap/>
          </w:tcPr>
          <w:p w14:paraId="7C0BDF6A"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1 233 493</w:t>
            </w:r>
          </w:p>
        </w:tc>
        <w:tc>
          <w:tcPr>
            <w:tcW w:w="1198" w:type="dxa"/>
            <w:noWrap/>
          </w:tcPr>
          <w:p w14:paraId="6E86DFA3"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p>
        </w:tc>
        <w:tc>
          <w:tcPr>
            <w:tcW w:w="908" w:type="dxa"/>
            <w:noWrap/>
          </w:tcPr>
          <w:p w14:paraId="473E736A"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p>
        </w:tc>
        <w:tc>
          <w:tcPr>
            <w:tcW w:w="1283" w:type="dxa"/>
            <w:noWrap/>
          </w:tcPr>
          <w:p w14:paraId="41DE8572" w14:textId="77777777" w:rsidR="00005C6E" w:rsidRPr="00E56E0A"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color w:val="000000"/>
                <w:sz w:val="18"/>
                <w:szCs w:val="18"/>
                <w:lang w:eastAsia="fr-FR"/>
              </w:rPr>
            </w:pPr>
            <w:r w:rsidRPr="00E56E0A">
              <w:rPr>
                <w:rFonts w:ascii="Garamond" w:eastAsia="Times New Roman" w:hAnsi="Garamond" w:cs="Calibri"/>
                <w:b/>
                <w:color w:val="000000"/>
                <w:sz w:val="18"/>
                <w:szCs w:val="18"/>
                <w:lang w:eastAsia="fr-FR"/>
              </w:rPr>
              <w:t>1 307 125</w:t>
            </w:r>
          </w:p>
        </w:tc>
      </w:tr>
    </w:tbl>
    <w:p w14:paraId="209CF7B2" w14:textId="77777777" w:rsidR="00005C6E" w:rsidRPr="00E56E0A" w:rsidRDefault="00005C6E" w:rsidP="00005C6E">
      <w:pPr>
        <w:pStyle w:val="Paragraphedeliste"/>
        <w:tabs>
          <w:tab w:val="left" w:pos="7350"/>
        </w:tabs>
        <w:spacing w:after="0"/>
        <w:rPr>
          <w:rFonts w:ascii="Garamond" w:hAnsi="Garamond"/>
          <w:sz w:val="16"/>
          <w:szCs w:val="16"/>
        </w:rPr>
      </w:pPr>
    </w:p>
    <w:p w14:paraId="40D71A04" w14:textId="77777777" w:rsidR="00005C6E" w:rsidRPr="00E56E0A" w:rsidRDefault="00005C6E"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r w:rsidRPr="00E56E0A">
        <w:rPr>
          <w:rFonts w:ascii="Garamond" w:hAnsi="Garamond"/>
          <w:color w:val="1F3864" w:themeColor="accent5" w:themeShade="80"/>
          <w:sz w:val="16"/>
          <w:szCs w:val="16"/>
        </w:rPr>
        <w:t>cfr l’avenant 6 du CPP, la répartition des parts se présente comme suit : 50% MIOC, 32,28% TEIKOKU et 17.7 % CHEVRON</w:t>
      </w:r>
    </w:p>
    <w:p w14:paraId="170DE7B1" w14:textId="77777777" w:rsidR="00005C6E" w:rsidRPr="00E56E0A" w:rsidRDefault="00005C6E"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u w:val="single"/>
        </w:rPr>
      </w:pPr>
      <w:r w:rsidRPr="00E56E0A">
        <w:rPr>
          <w:rFonts w:ascii="Garamond" w:hAnsi="Garamond"/>
          <w:color w:val="1F3864" w:themeColor="accent5" w:themeShade="80"/>
          <w:sz w:val="16"/>
          <w:szCs w:val="16"/>
          <w:u w:val="single"/>
        </w:rPr>
        <w:t xml:space="preserve">Cfr </w:t>
      </w:r>
      <w:hyperlink r:id="rId47" w:tgtFrame="_blank" w:history="1">
        <w:r w:rsidRPr="00E56E0A">
          <w:rPr>
            <w:rFonts w:ascii="Garamond" w:hAnsi="Garamond"/>
            <w:color w:val="1F3864" w:themeColor="accent5" w:themeShade="80"/>
            <w:sz w:val="16"/>
            <w:szCs w:val="16"/>
            <w:u w:val="single"/>
          </w:rPr>
          <w:t>CPP RDC et Caprikat Ltd et Foxwhelp Ltd sur les Blocs I &amp; II, Graben Albertine</w:t>
        </w:r>
      </w:hyperlink>
      <w:r w:rsidRPr="00E56E0A">
        <w:rPr>
          <w:rFonts w:ascii="Garamond" w:hAnsi="Garamond"/>
          <w:color w:val="1F3864" w:themeColor="accent5" w:themeShade="80"/>
          <w:sz w:val="16"/>
          <w:szCs w:val="16"/>
          <w:u w:val="single"/>
        </w:rPr>
        <w:t>. Article 5.3</w:t>
      </w:r>
    </w:p>
    <w:p w14:paraId="0B7E3BC8" w14:textId="77777777" w:rsidR="00005C6E" w:rsidRPr="00E56E0A" w:rsidRDefault="00A81FC8"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hyperlink r:id="rId48" w:history="1">
        <w:r w:rsidR="00005C6E" w:rsidRPr="00E56E0A">
          <w:rPr>
            <w:rStyle w:val="Lienhypertexte"/>
            <w:rFonts w:ascii="Garamond" w:hAnsi="Garamond"/>
            <w:color w:val="023160" w:themeColor="hyperlink" w:themeShade="80"/>
            <w:sz w:val="16"/>
            <w:szCs w:val="16"/>
          </w:rPr>
          <w:t xml:space="preserve">Cfr avenant 8 du </w:t>
        </w:r>
        <w:hyperlink r:id="rId49" w:tgtFrame="_blank" w:history="1">
          <w:r w:rsidR="00005C6E" w:rsidRPr="00E56E0A">
            <w:rPr>
              <w:rStyle w:val="Lienhypertexte"/>
              <w:rFonts w:ascii="Garamond" w:hAnsi="Garamond"/>
              <w:color w:val="023160" w:themeColor="hyperlink" w:themeShade="80"/>
              <w:sz w:val="16"/>
              <w:szCs w:val="16"/>
            </w:rPr>
            <w:t>Convention du 11 août 1969 sur les Concessions  179 Est Mibale et 189 Liawenda-Kinkazi, Bassin côtier</w:t>
          </w:r>
        </w:hyperlink>
        <w:r w:rsidR="00005C6E" w:rsidRPr="00E56E0A">
          <w:rPr>
            <w:rStyle w:val="Lienhypertexte"/>
            <w:rFonts w:ascii="Garamond" w:hAnsi="Garamond"/>
            <w:color w:val="023160" w:themeColor="hyperlink" w:themeShade="80"/>
            <w:sz w:val="16"/>
            <w:szCs w:val="16"/>
          </w:rPr>
          <w:t>. Article 8</w:t>
        </w:r>
      </w:hyperlink>
    </w:p>
    <w:p w14:paraId="04C83044" w14:textId="77777777" w:rsidR="00005C6E" w:rsidRPr="00E56E0A" w:rsidRDefault="00A81FC8" w:rsidP="00005C6E">
      <w:pPr>
        <w:pStyle w:val="Paragraphedeliste"/>
        <w:numPr>
          <w:ilvl w:val="0"/>
          <w:numId w:val="39"/>
        </w:numPr>
        <w:tabs>
          <w:tab w:val="left" w:pos="7350"/>
        </w:tabs>
        <w:spacing w:after="0" w:line="240" w:lineRule="auto"/>
        <w:contextualSpacing w:val="0"/>
        <w:jc w:val="both"/>
        <w:rPr>
          <w:rFonts w:ascii="Garamond" w:hAnsi="Garamond"/>
          <w:color w:val="1F3864" w:themeColor="accent5" w:themeShade="80"/>
          <w:sz w:val="16"/>
          <w:szCs w:val="16"/>
        </w:rPr>
      </w:pPr>
      <w:hyperlink r:id="rId50" w:history="1">
        <w:r w:rsidR="00005C6E" w:rsidRPr="00E56E0A">
          <w:rPr>
            <w:rStyle w:val="Lienhypertexte"/>
            <w:rFonts w:ascii="Garamond" w:hAnsi="Garamond"/>
            <w:color w:val="023160" w:themeColor="hyperlink" w:themeShade="80"/>
            <w:sz w:val="16"/>
            <w:szCs w:val="16"/>
          </w:rPr>
          <w:t>Cfr CP bloc III du Graben Albertine. Article 5.3</w:t>
        </w:r>
      </w:hyperlink>
    </w:p>
    <w:p w14:paraId="0EF0548F" w14:textId="77777777" w:rsidR="00005C6E" w:rsidRDefault="00005C6E" w:rsidP="00005C6E">
      <w:pPr>
        <w:rPr>
          <w:rFonts w:ascii="Garamond" w:hAnsi="Garamond"/>
          <w:sz w:val="24"/>
          <w:szCs w:val="24"/>
        </w:rPr>
      </w:pPr>
    </w:p>
    <w:p w14:paraId="34E899BD" w14:textId="77777777" w:rsidR="00005C6E" w:rsidRPr="008614DD" w:rsidRDefault="00005C6E" w:rsidP="00005C6E">
      <w:pPr>
        <w:rPr>
          <w:rFonts w:ascii="Times New Roman" w:hAnsi="Times New Roman"/>
          <w:sz w:val="24"/>
          <w:szCs w:val="24"/>
        </w:rPr>
      </w:pPr>
      <w:r w:rsidRPr="008614DD">
        <w:rPr>
          <w:rFonts w:ascii="Times New Roman" w:hAnsi="Times New Roman"/>
          <w:sz w:val="24"/>
          <w:szCs w:val="24"/>
        </w:rPr>
        <w:t xml:space="preserve">Les paiements reportés par les sociétés minières,  soit </w:t>
      </w:r>
      <w:r>
        <w:rPr>
          <w:rFonts w:ascii="Times New Roman" w:hAnsi="Times New Roman"/>
          <w:sz w:val="24"/>
          <w:szCs w:val="24"/>
        </w:rPr>
        <w:t>18</w:t>
      </w:r>
      <w:r w:rsidRPr="008614DD">
        <w:rPr>
          <w:rFonts w:ascii="Times New Roman" w:hAnsi="Times New Roman"/>
          <w:sz w:val="24"/>
          <w:szCs w:val="24"/>
        </w:rPr>
        <w:t xml:space="preserve"> entreprises, au titre des dépenses sociales s’élèvent à  25 047 699 USD et sont agrégés comme suit:</w:t>
      </w:r>
    </w:p>
    <w:p w14:paraId="5A5EAC71" w14:textId="77777777" w:rsidR="00005C6E" w:rsidRPr="00E56E0A" w:rsidRDefault="00005C6E" w:rsidP="00005C6E">
      <w:pPr>
        <w:pStyle w:val="Paragraphedeliste"/>
        <w:spacing w:after="0"/>
        <w:ind w:left="927" w:right="110"/>
        <w:jc w:val="right"/>
        <w:rPr>
          <w:rFonts w:ascii="Garamond" w:hAnsi="Garamond"/>
          <w:bCs/>
          <w:sz w:val="16"/>
          <w:szCs w:val="16"/>
          <w:lang w:eastAsia="fr-FR"/>
        </w:rPr>
      </w:pPr>
    </w:p>
    <w:tbl>
      <w:tblPr>
        <w:tblStyle w:val="TableauGrille1Clair1"/>
        <w:tblW w:w="9843" w:type="dxa"/>
        <w:tblLayout w:type="fixed"/>
        <w:tblLook w:val="04A0" w:firstRow="1" w:lastRow="0" w:firstColumn="1" w:lastColumn="0" w:noHBand="0" w:noVBand="1"/>
      </w:tblPr>
      <w:tblGrid>
        <w:gridCol w:w="426"/>
        <w:gridCol w:w="3322"/>
        <w:gridCol w:w="1276"/>
        <w:gridCol w:w="1134"/>
        <w:gridCol w:w="1276"/>
        <w:gridCol w:w="1224"/>
        <w:gridCol w:w="1185"/>
      </w:tblGrid>
      <w:tr w:rsidR="00005C6E" w:rsidRPr="00E56E0A" w14:paraId="6A0AC215" w14:textId="77777777" w:rsidTr="0054038F">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26" w:type="dxa"/>
          </w:tcPr>
          <w:p w14:paraId="7D0A6182" w14:textId="77777777" w:rsidR="00005C6E" w:rsidRPr="00E56E0A" w:rsidRDefault="00005C6E" w:rsidP="0054038F">
            <w:pPr>
              <w:rPr>
                <w:rFonts w:ascii="Garamond" w:eastAsia="Times New Roman" w:hAnsi="Garamond" w:cs="Calibri"/>
                <w:b w:val="0"/>
                <w:sz w:val="18"/>
                <w:szCs w:val="18"/>
                <w:lang w:eastAsia="fr-FR"/>
              </w:rPr>
            </w:pPr>
          </w:p>
        </w:tc>
        <w:tc>
          <w:tcPr>
            <w:tcW w:w="3322" w:type="dxa"/>
            <w:vMerge w:val="restart"/>
            <w:noWrap/>
            <w:vAlign w:val="center"/>
            <w:hideMark/>
          </w:tcPr>
          <w:p w14:paraId="124BBF1A"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b w:val="0"/>
                <w:sz w:val="18"/>
                <w:szCs w:val="18"/>
                <w:lang w:eastAsia="fr-FR"/>
              </w:rPr>
              <w:t>Entreprise</w:t>
            </w:r>
          </w:p>
        </w:tc>
        <w:tc>
          <w:tcPr>
            <w:tcW w:w="2410" w:type="dxa"/>
            <w:gridSpan w:val="2"/>
            <w:noWrap/>
            <w:hideMark/>
          </w:tcPr>
          <w:p w14:paraId="7EEEFA1F"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sz w:val="18"/>
                <w:szCs w:val="18"/>
                <w:lang w:eastAsia="fr-FR"/>
              </w:rPr>
            </w:pPr>
            <w:r w:rsidRPr="00E56E0A">
              <w:rPr>
                <w:rFonts w:ascii="Garamond" w:eastAsia="Times New Roman" w:hAnsi="Garamond" w:cs="Calibri"/>
                <w:sz w:val="18"/>
                <w:szCs w:val="18"/>
                <w:lang w:eastAsia="fr-FR"/>
              </w:rPr>
              <w:t xml:space="preserve">Dépenses sociales </w:t>
            </w:r>
            <w:r w:rsidRPr="00FE6F06">
              <w:rPr>
                <w:rFonts w:ascii="Garamond" w:eastAsia="Times New Roman" w:hAnsi="Garamond" w:cs="Calibri"/>
                <w:sz w:val="18"/>
                <w:szCs w:val="18"/>
                <w:lang w:eastAsia="fr-FR"/>
              </w:rPr>
              <w:t>obligatoires</w:t>
            </w:r>
          </w:p>
        </w:tc>
        <w:tc>
          <w:tcPr>
            <w:tcW w:w="2500" w:type="dxa"/>
            <w:gridSpan w:val="2"/>
            <w:noWrap/>
            <w:hideMark/>
          </w:tcPr>
          <w:p w14:paraId="30FE6183"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sz w:val="18"/>
                <w:szCs w:val="18"/>
                <w:lang w:eastAsia="fr-FR"/>
              </w:rPr>
            </w:pPr>
            <w:r w:rsidRPr="00E56E0A">
              <w:rPr>
                <w:rFonts w:ascii="Garamond" w:eastAsia="Times New Roman" w:hAnsi="Garamond" w:cs="Calibri"/>
                <w:sz w:val="18"/>
                <w:szCs w:val="18"/>
                <w:lang w:eastAsia="fr-FR"/>
              </w:rPr>
              <w:t>Dépenses sociales</w:t>
            </w:r>
            <w:r w:rsidRPr="00FE6F06">
              <w:rPr>
                <w:rFonts w:ascii="Garamond" w:eastAsia="Times New Roman" w:hAnsi="Garamond" w:cs="Calibri"/>
                <w:sz w:val="18"/>
                <w:szCs w:val="18"/>
                <w:lang w:eastAsia="fr-FR"/>
              </w:rPr>
              <w:t xml:space="preserve"> volontaires</w:t>
            </w:r>
          </w:p>
        </w:tc>
        <w:tc>
          <w:tcPr>
            <w:tcW w:w="1185" w:type="dxa"/>
            <w:vMerge w:val="restart"/>
            <w:noWrap/>
            <w:hideMark/>
          </w:tcPr>
          <w:p w14:paraId="29EFA7F2"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b w:val="0"/>
                <w:sz w:val="18"/>
                <w:szCs w:val="18"/>
                <w:lang w:eastAsia="fr-FR"/>
              </w:rPr>
              <w:t>Total</w:t>
            </w:r>
          </w:p>
        </w:tc>
      </w:tr>
      <w:tr w:rsidR="00005C6E" w:rsidRPr="00E56E0A" w14:paraId="6A02F9CB" w14:textId="77777777" w:rsidTr="0054038F">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26" w:type="dxa"/>
          </w:tcPr>
          <w:p w14:paraId="39C4914C" w14:textId="77777777" w:rsidR="00005C6E" w:rsidRPr="00E56E0A" w:rsidRDefault="00005C6E" w:rsidP="0054038F">
            <w:pPr>
              <w:rPr>
                <w:rFonts w:ascii="Garamond" w:eastAsia="Times New Roman" w:hAnsi="Garamond" w:cs="Calibri"/>
                <w:b w:val="0"/>
                <w:sz w:val="18"/>
                <w:szCs w:val="18"/>
                <w:lang w:eastAsia="fr-FR"/>
              </w:rPr>
            </w:pPr>
          </w:p>
        </w:tc>
        <w:tc>
          <w:tcPr>
            <w:tcW w:w="3322" w:type="dxa"/>
            <w:vMerge/>
            <w:hideMark/>
          </w:tcPr>
          <w:p w14:paraId="4506D924" w14:textId="77777777" w:rsidR="00005C6E" w:rsidRPr="00FE6F06" w:rsidRDefault="00005C6E" w:rsidP="0054038F">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p>
        </w:tc>
        <w:tc>
          <w:tcPr>
            <w:tcW w:w="1276" w:type="dxa"/>
            <w:noWrap/>
            <w:hideMark/>
          </w:tcPr>
          <w:p w14:paraId="32C50D53"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numéraire</w:t>
            </w:r>
          </w:p>
        </w:tc>
        <w:tc>
          <w:tcPr>
            <w:tcW w:w="1134" w:type="dxa"/>
            <w:noWrap/>
            <w:hideMark/>
          </w:tcPr>
          <w:p w14:paraId="4C9CFB6C"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nature</w:t>
            </w:r>
          </w:p>
        </w:tc>
        <w:tc>
          <w:tcPr>
            <w:tcW w:w="1276" w:type="dxa"/>
            <w:noWrap/>
            <w:hideMark/>
          </w:tcPr>
          <w:p w14:paraId="3D664902"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numéraire</w:t>
            </w:r>
          </w:p>
        </w:tc>
        <w:tc>
          <w:tcPr>
            <w:tcW w:w="1224" w:type="dxa"/>
            <w:noWrap/>
            <w:hideMark/>
          </w:tcPr>
          <w:p w14:paraId="180BA559"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r w:rsidRPr="00FE6F06">
              <w:rPr>
                <w:rFonts w:ascii="Garamond" w:eastAsia="Times New Roman" w:hAnsi="Garamond" w:cs="Calibri"/>
                <w:sz w:val="18"/>
                <w:szCs w:val="18"/>
                <w:lang w:eastAsia="fr-FR"/>
              </w:rPr>
              <w:t>En nature</w:t>
            </w:r>
          </w:p>
        </w:tc>
        <w:tc>
          <w:tcPr>
            <w:tcW w:w="1185" w:type="dxa"/>
            <w:vMerge/>
            <w:hideMark/>
          </w:tcPr>
          <w:p w14:paraId="11D31616" w14:textId="77777777" w:rsidR="00005C6E" w:rsidRPr="00FE6F06" w:rsidRDefault="00005C6E" w:rsidP="0054038F">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sz w:val="18"/>
                <w:szCs w:val="18"/>
                <w:lang w:eastAsia="fr-FR"/>
              </w:rPr>
            </w:pPr>
          </w:p>
        </w:tc>
      </w:tr>
      <w:tr w:rsidR="00005C6E" w:rsidRPr="00E56E0A" w14:paraId="1CB970C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F35DC9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w:t>
            </w:r>
          </w:p>
        </w:tc>
        <w:tc>
          <w:tcPr>
            <w:tcW w:w="3322" w:type="dxa"/>
            <w:noWrap/>
            <w:hideMark/>
          </w:tcPr>
          <w:p w14:paraId="205CE37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BOSS MINING</w:t>
            </w:r>
          </w:p>
        </w:tc>
        <w:tc>
          <w:tcPr>
            <w:tcW w:w="1276" w:type="dxa"/>
            <w:noWrap/>
            <w:hideMark/>
          </w:tcPr>
          <w:p w14:paraId="268E950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6F74C9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841EEA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2 136 505</w:t>
            </w:r>
          </w:p>
        </w:tc>
        <w:tc>
          <w:tcPr>
            <w:tcW w:w="1224" w:type="dxa"/>
            <w:noWrap/>
            <w:hideMark/>
          </w:tcPr>
          <w:p w14:paraId="346E816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2 636 166</w:t>
            </w:r>
          </w:p>
        </w:tc>
        <w:tc>
          <w:tcPr>
            <w:tcW w:w="1185" w:type="dxa"/>
            <w:noWrap/>
            <w:hideMark/>
          </w:tcPr>
          <w:p w14:paraId="0E66E70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4 772 671</w:t>
            </w:r>
          </w:p>
        </w:tc>
      </w:tr>
      <w:tr w:rsidR="00005C6E" w:rsidRPr="00E56E0A" w14:paraId="4B83E906"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12934F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w:t>
            </w:r>
          </w:p>
        </w:tc>
        <w:tc>
          <w:tcPr>
            <w:tcW w:w="3322" w:type="dxa"/>
            <w:noWrap/>
            <w:hideMark/>
          </w:tcPr>
          <w:p w14:paraId="74E21FC0"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Pr>
                <w:rFonts w:ascii="Garamond" w:eastAsia="Times New Roman" w:hAnsi="Garamond" w:cs="Calibri"/>
                <w:color w:val="000000"/>
                <w:sz w:val="18"/>
                <w:szCs w:val="18"/>
                <w:lang w:eastAsia="fr-FR"/>
              </w:rPr>
              <w:t>COMIKA</w:t>
            </w:r>
          </w:p>
        </w:tc>
        <w:tc>
          <w:tcPr>
            <w:tcW w:w="1276" w:type="dxa"/>
            <w:noWrap/>
            <w:hideMark/>
          </w:tcPr>
          <w:p w14:paraId="21E90D2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04AA432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2DEC23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2 144</w:t>
            </w:r>
          </w:p>
        </w:tc>
        <w:tc>
          <w:tcPr>
            <w:tcW w:w="1224" w:type="dxa"/>
            <w:noWrap/>
            <w:hideMark/>
          </w:tcPr>
          <w:p w14:paraId="06CCFD9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750</w:t>
            </w:r>
          </w:p>
        </w:tc>
        <w:tc>
          <w:tcPr>
            <w:tcW w:w="1185" w:type="dxa"/>
            <w:noWrap/>
            <w:hideMark/>
          </w:tcPr>
          <w:p w14:paraId="012A36C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2 894</w:t>
            </w:r>
          </w:p>
        </w:tc>
      </w:tr>
      <w:tr w:rsidR="00005C6E" w:rsidRPr="00E56E0A" w14:paraId="20F3B864"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E8F73A2"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3</w:t>
            </w:r>
          </w:p>
        </w:tc>
        <w:tc>
          <w:tcPr>
            <w:tcW w:w="3322" w:type="dxa"/>
            <w:noWrap/>
            <w:hideMark/>
          </w:tcPr>
          <w:p w14:paraId="0053D4BD"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CONGO DONGFANG INTERNATIONAL MINING</w:t>
            </w:r>
          </w:p>
        </w:tc>
        <w:tc>
          <w:tcPr>
            <w:tcW w:w="1276" w:type="dxa"/>
            <w:noWrap/>
            <w:hideMark/>
          </w:tcPr>
          <w:p w14:paraId="2B1503B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603B7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654AD52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39 164</w:t>
            </w:r>
          </w:p>
        </w:tc>
        <w:tc>
          <w:tcPr>
            <w:tcW w:w="1224" w:type="dxa"/>
            <w:noWrap/>
            <w:hideMark/>
          </w:tcPr>
          <w:p w14:paraId="02DFBC0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46 995</w:t>
            </w:r>
          </w:p>
        </w:tc>
        <w:tc>
          <w:tcPr>
            <w:tcW w:w="1185" w:type="dxa"/>
            <w:noWrap/>
            <w:hideMark/>
          </w:tcPr>
          <w:p w14:paraId="5C3CBB8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86 159</w:t>
            </w:r>
          </w:p>
        </w:tc>
      </w:tr>
      <w:tr w:rsidR="00005C6E" w:rsidRPr="00E56E0A" w14:paraId="2FB3B3EC"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0F5863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w:t>
            </w:r>
          </w:p>
        </w:tc>
        <w:tc>
          <w:tcPr>
            <w:tcW w:w="3322" w:type="dxa"/>
            <w:noWrap/>
            <w:hideMark/>
          </w:tcPr>
          <w:p w14:paraId="262B5E3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FRONTIER SPRL</w:t>
            </w:r>
          </w:p>
        </w:tc>
        <w:tc>
          <w:tcPr>
            <w:tcW w:w="1276" w:type="dxa"/>
            <w:noWrap/>
            <w:hideMark/>
          </w:tcPr>
          <w:p w14:paraId="68CA93E9"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E993E5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7FA652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93 275</w:t>
            </w:r>
          </w:p>
        </w:tc>
        <w:tc>
          <w:tcPr>
            <w:tcW w:w="1224" w:type="dxa"/>
            <w:noWrap/>
            <w:hideMark/>
          </w:tcPr>
          <w:p w14:paraId="7C0679A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1 014 286</w:t>
            </w:r>
          </w:p>
        </w:tc>
        <w:tc>
          <w:tcPr>
            <w:tcW w:w="1185" w:type="dxa"/>
            <w:noWrap/>
            <w:hideMark/>
          </w:tcPr>
          <w:p w14:paraId="1F76E81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1 107 561</w:t>
            </w:r>
          </w:p>
        </w:tc>
      </w:tr>
      <w:tr w:rsidR="00005C6E" w:rsidRPr="00E56E0A" w14:paraId="1F3D1F8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C0A233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5</w:t>
            </w:r>
          </w:p>
        </w:tc>
        <w:tc>
          <w:tcPr>
            <w:tcW w:w="3322" w:type="dxa"/>
            <w:noWrap/>
            <w:hideMark/>
          </w:tcPr>
          <w:p w14:paraId="4BF62E4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Pr>
                <w:rFonts w:ascii="Garamond" w:eastAsia="Times New Roman" w:hAnsi="Garamond" w:cs="Calibri"/>
                <w:color w:val="000000"/>
                <w:sz w:val="18"/>
                <w:szCs w:val="18"/>
                <w:lang w:eastAsia="fr-FR"/>
              </w:rPr>
              <w:t>GTL</w:t>
            </w:r>
          </w:p>
        </w:tc>
        <w:tc>
          <w:tcPr>
            <w:tcW w:w="1276" w:type="dxa"/>
            <w:noWrap/>
            <w:hideMark/>
          </w:tcPr>
          <w:p w14:paraId="3E5A3B3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69DF27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46B780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79E8723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65739C3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59F9E3F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6EF82AB"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6</w:t>
            </w:r>
          </w:p>
        </w:tc>
        <w:tc>
          <w:tcPr>
            <w:tcW w:w="3322" w:type="dxa"/>
            <w:noWrap/>
            <w:hideMark/>
          </w:tcPr>
          <w:p w14:paraId="2D74A0E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KAMOTO COPPER COMPANY SA</w:t>
            </w:r>
          </w:p>
        </w:tc>
        <w:tc>
          <w:tcPr>
            <w:tcW w:w="1276" w:type="dxa"/>
            <w:noWrap/>
            <w:hideMark/>
          </w:tcPr>
          <w:p w14:paraId="6E4E96E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57FF66C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11 609 371</w:t>
            </w:r>
          </w:p>
        </w:tc>
        <w:tc>
          <w:tcPr>
            <w:tcW w:w="1276" w:type="dxa"/>
            <w:noWrap/>
            <w:hideMark/>
          </w:tcPr>
          <w:p w14:paraId="7C175BF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24" w:type="dxa"/>
            <w:noWrap/>
            <w:hideMark/>
          </w:tcPr>
          <w:p w14:paraId="273064A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06933F8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11 609 371</w:t>
            </w:r>
          </w:p>
        </w:tc>
      </w:tr>
      <w:tr w:rsidR="00005C6E" w:rsidRPr="00E56E0A" w14:paraId="62F8618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2ABF344"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7</w:t>
            </w:r>
          </w:p>
        </w:tc>
        <w:tc>
          <w:tcPr>
            <w:tcW w:w="3322" w:type="dxa"/>
            <w:noWrap/>
            <w:hideMark/>
          </w:tcPr>
          <w:p w14:paraId="79A064C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KIBALI GOLD MINES</w:t>
            </w:r>
          </w:p>
        </w:tc>
        <w:tc>
          <w:tcPr>
            <w:tcW w:w="1276" w:type="dxa"/>
            <w:noWrap/>
            <w:hideMark/>
          </w:tcPr>
          <w:p w14:paraId="1947D1E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734D7FFC"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7F33CF4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2 200 068</w:t>
            </w:r>
          </w:p>
        </w:tc>
        <w:tc>
          <w:tcPr>
            <w:tcW w:w="1224" w:type="dxa"/>
            <w:noWrap/>
            <w:hideMark/>
          </w:tcPr>
          <w:p w14:paraId="01A46E0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1C1EC1A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2 200 068</w:t>
            </w:r>
          </w:p>
        </w:tc>
      </w:tr>
      <w:tr w:rsidR="00005C6E" w:rsidRPr="00E56E0A" w14:paraId="55FBCF0E"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DC2B4BF"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lastRenderedPageBreak/>
              <w:t>8</w:t>
            </w:r>
          </w:p>
        </w:tc>
        <w:tc>
          <w:tcPr>
            <w:tcW w:w="3322" w:type="dxa"/>
            <w:noWrap/>
            <w:hideMark/>
          </w:tcPr>
          <w:p w14:paraId="619D022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METAL MINES</w:t>
            </w:r>
          </w:p>
        </w:tc>
        <w:tc>
          <w:tcPr>
            <w:tcW w:w="1276" w:type="dxa"/>
            <w:noWrap/>
            <w:hideMark/>
          </w:tcPr>
          <w:p w14:paraId="5F68EBFC"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5731F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3D751B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204 606</w:t>
            </w:r>
          </w:p>
        </w:tc>
        <w:tc>
          <w:tcPr>
            <w:tcW w:w="1224" w:type="dxa"/>
            <w:noWrap/>
            <w:hideMark/>
          </w:tcPr>
          <w:p w14:paraId="666601F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7266349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204 606</w:t>
            </w:r>
          </w:p>
        </w:tc>
      </w:tr>
      <w:tr w:rsidR="00005C6E" w:rsidRPr="00E56E0A" w14:paraId="120511C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8433C67"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9</w:t>
            </w:r>
          </w:p>
        </w:tc>
        <w:tc>
          <w:tcPr>
            <w:tcW w:w="3322" w:type="dxa"/>
            <w:noWrap/>
            <w:hideMark/>
          </w:tcPr>
          <w:p w14:paraId="06711FF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MMG KINSEVERE SPRL</w:t>
            </w:r>
          </w:p>
        </w:tc>
        <w:tc>
          <w:tcPr>
            <w:tcW w:w="1276" w:type="dxa"/>
            <w:noWrap/>
            <w:hideMark/>
          </w:tcPr>
          <w:p w14:paraId="3CE46428"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0E31E1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695 089</w:t>
            </w:r>
          </w:p>
        </w:tc>
        <w:tc>
          <w:tcPr>
            <w:tcW w:w="1276" w:type="dxa"/>
            <w:noWrap/>
            <w:hideMark/>
          </w:tcPr>
          <w:p w14:paraId="440502E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200 504</w:t>
            </w:r>
          </w:p>
        </w:tc>
        <w:tc>
          <w:tcPr>
            <w:tcW w:w="1224" w:type="dxa"/>
            <w:noWrap/>
            <w:hideMark/>
          </w:tcPr>
          <w:p w14:paraId="0F4C855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90 895</w:t>
            </w:r>
          </w:p>
        </w:tc>
        <w:tc>
          <w:tcPr>
            <w:tcW w:w="1185" w:type="dxa"/>
            <w:noWrap/>
            <w:hideMark/>
          </w:tcPr>
          <w:p w14:paraId="05A47AB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986 488</w:t>
            </w:r>
          </w:p>
        </w:tc>
      </w:tr>
      <w:tr w:rsidR="00005C6E" w:rsidRPr="00E56E0A" w14:paraId="4A30D659"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787E1D2"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10</w:t>
            </w:r>
          </w:p>
        </w:tc>
        <w:tc>
          <w:tcPr>
            <w:tcW w:w="3322" w:type="dxa"/>
            <w:noWrap/>
            <w:hideMark/>
          </w:tcPr>
          <w:p w14:paraId="62EF3005"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MUTANDA MINING</w:t>
            </w:r>
          </w:p>
        </w:tc>
        <w:tc>
          <w:tcPr>
            <w:tcW w:w="1276" w:type="dxa"/>
            <w:noWrap/>
            <w:hideMark/>
          </w:tcPr>
          <w:p w14:paraId="0D121DE4"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0B1160C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4BAD84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1 614 951</w:t>
            </w:r>
          </w:p>
        </w:tc>
        <w:tc>
          <w:tcPr>
            <w:tcW w:w="1224" w:type="dxa"/>
            <w:noWrap/>
            <w:hideMark/>
          </w:tcPr>
          <w:p w14:paraId="7F0742A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5493EE7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1 614 951</w:t>
            </w:r>
          </w:p>
        </w:tc>
      </w:tr>
      <w:tr w:rsidR="00005C6E" w:rsidRPr="00E56E0A" w14:paraId="716F1A68"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E9C033A"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11</w:t>
            </w:r>
          </w:p>
        </w:tc>
        <w:tc>
          <w:tcPr>
            <w:tcW w:w="3322" w:type="dxa"/>
            <w:noWrap/>
            <w:hideMark/>
          </w:tcPr>
          <w:p w14:paraId="52349B51"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RUASHI MINING</w:t>
            </w:r>
          </w:p>
        </w:tc>
        <w:tc>
          <w:tcPr>
            <w:tcW w:w="1276" w:type="dxa"/>
            <w:noWrap/>
            <w:hideMark/>
          </w:tcPr>
          <w:p w14:paraId="473744B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2E534B7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4C81DB4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740 000</w:t>
            </w:r>
          </w:p>
        </w:tc>
        <w:tc>
          <w:tcPr>
            <w:tcW w:w="1224" w:type="dxa"/>
            <w:noWrap/>
            <w:hideMark/>
          </w:tcPr>
          <w:p w14:paraId="2CC73473"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7133F5F1"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740 000</w:t>
            </w:r>
          </w:p>
        </w:tc>
      </w:tr>
      <w:tr w:rsidR="00005C6E" w:rsidRPr="00E56E0A" w14:paraId="5B5DA0CF"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4E54EB5C"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12</w:t>
            </w:r>
          </w:p>
        </w:tc>
        <w:tc>
          <w:tcPr>
            <w:tcW w:w="3322" w:type="dxa"/>
            <w:noWrap/>
            <w:hideMark/>
          </w:tcPr>
          <w:p w14:paraId="2AD611B3"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SINO CONGOLAISE DES MINES</w:t>
            </w:r>
          </w:p>
        </w:tc>
        <w:tc>
          <w:tcPr>
            <w:tcW w:w="1276" w:type="dxa"/>
            <w:noWrap/>
            <w:hideMark/>
          </w:tcPr>
          <w:p w14:paraId="7171BB5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32DFFF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06C128C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13 600</w:t>
            </w:r>
          </w:p>
        </w:tc>
        <w:tc>
          <w:tcPr>
            <w:tcW w:w="1224" w:type="dxa"/>
            <w:noWrap/>
            <w:hideMark/>
          </w:tcPr>
          <w:p w14:paraId="3B454A48"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983 481</w:t>
            </w:r>
          </w:p>
        </w:tc>
        <w:tc>
          <w:tcPr>
            <w:tcW w:w="1185" w:type="dxa"/>
            <w:noWrap/>
            <w:hideMark/>
          </w:tcPr>
          <w:p w14:paraId="6C3F81A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997 081</w:t>
            </w:r>
          </w:p>
        </w:tc>
      </w:tr>
      <w:tr w:rsidR="00005C6E" w:rsidRPr="00E56E0A" w14:paraId="291AD69E"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1EF076E"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13</w:t>
            </w:r>
          </w:p>
        </w:tc>
        <w:tc>
          <w:tcPr>
            <w:tcW w:w="3322" w:type="dxa"/>
            <w:noWrap/>
            <w:hideMark/>
          </w:tcPr>
          <w:p w14:paraId="39FCE5D2"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ANHUI CONGO D'INVESTIMENT MINIER</w:t>
            </w:r>
          </w:p>
        </w:tc>
        <w:tc>
          <w:tcPr>
            <w:tcW w:w="1276" w:type="dxa"/>
            <w:noWrap/>
            <w:hideMark/>
          </w:tcPr>
          <w:p w14:paraId="3609817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200 000</w:t>
            </w:r>
          </w:p>
        </w:tc>
        <w:tc>
          <w:tcPr>
            <w:tcW w:w="1134" w:type="dxa"/>
            <w:noWrap/>
            <w:hideMark/>
          </w:tcPr>
          <w:p w14:paraId="25B91D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76" w:type="dxa"/>
            <w:noWrap/>
            <w:hideMark/>
          </w:tcPr>
          <w:p w14:paraId="49ADC53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57 140</w:t>
            </w:r>
          </w:p>
        </w:tc>
        <w:tc>
          <w:tcPr>
            <w:tcW w:w="1224" w:type="dxa"/>
            <w:noWrap/>
            <w:hideMark/>
          </w:tcPr>
          <w:p w14:paraId="2A72AEC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0CA8218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257 140</w:t>
            </w:r>
          </w:p>
        </w:tc>
      </w:tr>
      <w:tr w:rsidR="00005C6E" w:rsidRPr="00E56E0A" w14:paraId="5BF6135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5A82313"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14</w:t>
            </w:r>
          </w:p>
        </w:tc>
        <w:tc>
          <w:tcPr>
            <w:tcW w:w="3322" w:type="dxa"/>
            <w:noWrap/>
            <w:hideMark/>
          </w:tcPr>
          <w:p w14:paraId="1E5641C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SOCIÉTÉ COMMERCIALE MINIÈRE DE KISENGE MANAGNÈSE</w:t>
            </w:r>
          </w:p>
        </w:tc>
        <w:tc>
          <w:tcPr>
            <w:tcW w:w="1276" w:type="dxa"/>
            <w:noWrap/>
            <w:hideMark/>
          </w:tcPr>
          <w:p w14:paraId="6E2754A0"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75E6615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2230C03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434BAD3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4940F4A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6C620632"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A51C42F"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15</w:t>
            </w:r>
          </w:p>
        </w:tc>
        <w:tc>
          <w:tcPr>
            <w:tcW w:w="3322" w:type="dxa"/>
            <w:noWrap/>
            <w:hideMark/>
          </w:tcPr>
          <w:p w14:paraId="7DDFFA0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D'EXPLOITATION DE GISEMENTS DE KALUKUNDI SPRL</w:t>
            </w:r>
          </w:p>
        </w:tc>
        <w:tc>
          <w:tcPr>
            <w:tcW w:w="1276" w:type="dxa"/>
            <w:noWrap/>
            <w:hideMark/>
          </w:tcPr>
          <w:p w14:paraId="14884FF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C7073CC"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117346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49 291</w:t>
            </w:r>
          </w:p>
        </w:tc>
        <w:tc>
          <w:tcPr>
            <w:tcW w:w="1224" w:type="dxa"/>
            <w:noWrap/>
            <w:hideMark/>
          </w:tcPr>
          <w:p w14:paraId="4241037E"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532FD09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49 291</w:t>
            </w:r>
          </w:p>
        </w:tc>
      </w:tr>
      <w:tr w:rsidR="00005C6E" w:rsidRPr="00E56E0A" w14:paraId="678D51BF"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0794A819"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16</w:t>
            </w:r>
          </w:p>
        </w:tc>
        <w:tc>
          <w:tcPr>
            <w:tcW w:w="3322" w:type="dxa"/>
            <w:noWrap/>
            <w:hideMark/>
          </w:tcPr>
          <w:p w14:paraId="6D018B5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DE BEERS EXPLORATION SPRL</w:t>
            </w:r>
          </w:p>
        </w:tc>
        <w:tc>
          <w:tcPr>
            <w:tcW w:w="1276" w:type="dxa"/>
            <w:noWrap/>
            <w:hideMark/>
          </w:tcPr>
          <w:p w14:paraId="6F4B74A6"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3CC701CF"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399D45A1"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24" w:type="dxa"/>
            <w:noWrap/>
            <w:hideMark/>
          </w:tcPr>
          <w:p w14:paraId="61850CC0"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185" w:type="dxa"/>
            <w:noWrap/>
            <w:hideMark/>
          </w:tcPr>
          <w:p w14:paraId="484704B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0</w:t>
            </w:r>
          </w:p>
        </w:tc>
      </w:tr>
      <w:tr w:rsidR="00005C6E" w:rsidRPr="00E56E0A" w14:paraId="54A5477B"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33860818"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17</w:t>
            </w:r>
          </w:p>
        </w:tc>
        <w:tc>
          <w:tcPr>
            <w:tcW w:w="3322" w:type="dxa"/>
            <w:noWrap/>
            <w:hideMark/>
          </w:tcPr>
          <w:p w14:paraId="37F1564A"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MINIERE DE DIAMANT DE LUPATAPATA</w:t>
            </w:r>
          </w:p>
        </w:tc>
        <w:tc>
          <w:tcPr>
            <w:tcW w:w="1276" w:type="dxa"/>
            <w:noWrap/>
            <w:hideMark/>
          </w:tcPr>
          <w:p w14:paraId="408818FE"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34" w:type="dxa"/>
            <w:noWrap/>
            <w:hideMark/>
          </w:tcPr>
          <w:p w14:paraId="4033A66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18"/>
                <w:szCs w:val="18"/>
                <w:lang w:eastAsia="fr-FR"/>
              </w:rPr>
            </w:pPr>
          </w:p>
        </w:tc>
        <w:tc>
          <w:tcPr>
            <w:tcW w:w="1276" w:type="dxa"/>
            <w:noWrap/>
            <w:hideMark/>
          </w:tcPr>
          <w:p w14:paraId="1882DCD7"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27 000</w:t>
            </w:r>
          </w:p>
        </w:tc>
        <w:tc>
          <w:tcPr>
            <w:tcW w:w="1224" w:type="dxa"/>
            <w:noWrap/>
            <w:hideMark/>
          </w:tcPr>
          <w:p w14:paraId="6F5ED26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23BAE9B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27 000</w:t>
            </w:r>
          </w:p>
        </w:tc>
      </w:tr>
      <w:tr w:rsidR="00005C6E" w:rsidRPr="00E56E0A" w14:paraId="1F765E87"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63B41B63" w14:textId="77777777" w:rsidR="00005C6E" w:rsidRPr="00E56E0A" w:rsidRDefault="00005C6E" w:rsidP="0054038F">
            <w:pPr>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18</w:t>
            </w:r>
          </w:p>
        </w:tc>
        <w:tc>
          <w:tcPr>
            <w:tcW w:w="3322" w:type="dxa"/>
            <w:noWrap/>
            <w:hideMark/>
          </w:tcPr>
          <w:p w14:paraId="0F8B9FC7"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SOCIETE MINIERE DU KATANGA</w:t>
            </w:r>
          </w:p>
        </w:tc>
        <w:tc>
          <w:tcPr>
            <w:tcW w:w="1276" w:type="dxa"/>
            <w:noWrap/>
            <w:hideMark/>
          </w:tcPr>
          <w:p w14:paraId="7A7D3D9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374 020</w:t>
            </w:r>
          </w:p>
        </w:tc>
        <w:tc>
          <w:tcPr>
            <w:tcW w:w="1134" w:type="dxa"/>
            <w:noWrap/>
            <w:hideMark/>
          </w:tcPr>
          <w:p w14:paraId="31B1328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276" w:type="dxa"/>
            <w:noWrap/>
            <w:hideMark/>
          </w:tcPr>
          <w:p w14:paraId="75EB7EEA"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18 412</w:t>
            </w:r>
          </w:p>
        </w:tc>
        <w:tc>
          <w:tcPr>
            <w:tcW w:w="1224" w:type="dxa"/>
            <w:noWrap/>
            <w:hideMark/>
          </w:tcPr>
          <w:p w14:paraId="6670C11B"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p>
        </w:tc>
        <w:tc>
          <w:tcPr>
            <w:tcW w:w="1185" w:type="dxa"/>
            <w:noWrap/>
            <w:hideMark/>
          </w:tcPr>
          <w:p w14:paraId="0EAD0A72"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392 432</w:t>
            </w:r>
          </w:p>
        </w:tc>
      </w:tr>
      <w:tr w:rsidR="00005C6E" w:rsidRPr="00E56E0A" w14:paraId="3318412D" w14:textId="77777777" w:rsidTr="0054038F">
        <w:trPr>
          <w:trHeight w:val="288"/>
        </w:trPr>
        <w:tc>
          <w:tcPr>
            <w:cnfStyle w:val="001000000000" w:firstRow="0" w:lastRow="0" w:firstColumn="1" w:lastColumn="0" w:oddVBand="0" w:evenVBand="0" w:oddHBand="0" w:evenHBand="0" w:firstRowFirstColumn="0" w:firstRowLastColumn="0" w:lastRowFirstColumn="0" w:lastRowLastColumn="0"/>
            <w:tcW w:w="426" w:type="dxa"/>
          </w:tcPr>
          <w:p w14:paraId="1B1533D7" w14:textId="77777777" w:rsidR="00005C6E" w:rsidRPr="00E56E0A" w:rsidRDefault="00005C6E" w:rsidP="0054038F">
            <w:pPr>
              <w:rPr>
                <w:rFonts w:ascii="Garamond" w:eastAsia="Times New Roman" w:hAnsi="Garamond" w:cs="Calibri"/>
                <w:color w:val="000000"/>
                <w:sz w:val="18"/>
                <w:szCs w:val="18"/>
                <w:lang w:eastAsia="fr-FR"/>
              </w:rPr>
            </w:pPr>
          </w:p>
        </w:tc>
        <w:tc>
          <w:tcPr>
            <w:tcW w:w="3322" w:type="dxa"/>
            <w:noWrap/>
            <w:hideMark/>
          </w:tcPr>
          <w:p w14:paraId="17728DEF" w14:textId="77777777" w:rsidR="00005C6E" w:rsidRPr="00FE6F06" w:rsidRDefault="00005C6E" w:rsidP="0054038F">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TOTAUX</w:t>
            </w:r>
          </w:p>
        </w:tc>
        <w:tc>
          <w:tcPr>
            <w:tcW w:w="1276" w:type="dxa"/>
            <w:noWrap/>
            <w:hideMark/>
          </w:tcPr>
          <w:p w14:paraId="20BBC099"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574</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020</w:t>
            </w:r>
          </w:p>
        </w:tc>
        <w:tc>
          <w:tcPr>
            <w:tcW w:w="1134" w:type="dxa"/>
            <w:noWrap/>
            <w:hideMark/>
          </w:tcPr>
          <w:p w14:paraId="5DD87EF4"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1</w:t>
            </w:r>
            <w:r w:rsidRPr="00E56E0A">
              <w:rPr>
                <w:rFonts w:ascii="Garamond" w:eastAsia="Times New Roman" w:hAnsi="Garamond" w:cs="Calibri"/>
                <w:color w:val="000000"/>
                <w:sz w:val="18"/>
                <w:szCs w:val="18"/>
                <w:lang w:eastAsia="fr-FR"/>
              </w:rPr>
              <w:t>2</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304</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446</w:t>
            </w:r>
          </w:p>
        </w:tc>
        <w:tc>
          <w:tcPr>
            <w:tcW w:w="1276" w:type="dxa"/>
            <w:noWrap/>
            <w:hideMark/>
          </w:tcPr>
          <w:p w14:paraId="558B3A85"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FE6F06">
              <w:rPr>
                <w:rFonts w:ascii="Garamond" w:eastAsia="Times New Roman" w:hAnsi="Garamond" w:cs="Calibri"/>
                <w:color w:val="000000"/>
                <w:sz w:val="18"/>
                <w:szCs w:val="18"/>
                <w:lang w:eastAsia="fr-FR"/>
              </w:rPr>
              <w:t>7 396 660</w:t>
            </w:r>
          </w:p>
        </w:tc>
        <w:tc>
          <w:tcPr>
            <w:tcW w:w="1224" w:type="dxa"/>
            <w:noWrap/>
            <w:hideMark/>
          </w:tcPr>
          <w:p w14:paraId="5950DF06"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4 772 573</w:t>
            </w:r>
          </w:p>
        </w:tc>
        <w:tc>
          <w:tcPr>
            <w:tcW w:w="1185" w:type="dxa"/>
            <w:noWrap/>
            <w:hideMark/>
          </w:tcPr>
          <w:p w14:paraId="0E88D9CD" w14:textId="77777777" w:rsidR="00005C6E" w:rsidRPr="00FE6F06" w:rsidRDefault="00005C6E" w:rsidP="0054038F">
            <w:pPr>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color w:val="000000"/>
                <w:sz w:val="18"/>
                <w:szCs w:val="18"/>
                <w:lang w:eastAsia="fr-FR"/>
              </w:rPr>
            </w:pPr>
            <w:r w:rsidRPr="00E56E0A">
              <w:rPr>
                <w:rFonts w:ascii="Garamond" w:eastAsia="Times New Roman" w:hAnsi="Garamond" w:cs="Calibri"/>
                <w:color w:val="000000"/>
                <w:sz w:val="18"/>
                <w:szCs w:val="18"/>
                <w:lang w:eastAsia="fr-FR"/>
              </w:rPr>
              <w:t>25</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047</w:t>
            </w:r>
            <w:r w:rsidRPr="00FE6F06">
              <w:rPr>
                <w:rFonts w:ascii="Garamond" w:eastAsia="Times New Roman" w:hAnsi="Garamond" w:cs="Calibri"/>
                <w:color w:val="000000"/>
                <w:sz w:val="18"/>
                <w:szCs w:val="18"/>
                <w:lang w:eastAsia="fr-FR"/>
              </w:rPr>
              <w:t xml:space="preserve"> </w:t>
            </w:r>
            <w:r w:rsidRPr="00E56E0A">
              <w:rPr>
                <w:rFonts w:ascii="Garamond" w:eastAsia="Times New Roman" w:hAnsi="Garamond" w:cs="Calibri"/>
                <w:color w:val="000000"/>
                <w:sz w:val="18"/>
                <w:szCs w:val="18"/>
                <w:lang w:eastAsia="fr-FR"/>
              </w:rPr>
              <w:t>699</w:t>
            </w:r>
          </w:p>
        </w:tc>
      </w:tr>
    </w:tbl>
    <w:p w14:paraId="44891B90" w14:textId="77777777" w:rsidR="00005C6E" w:rsidRPr="008614DD" w:rsidRDefault="00005C6E" w:rsidP="00005C6E">
      <w:pPr>
        <w:tabs>
          <w:tab w:val="left" w:pos="7350"/>
        </w:tabs>
        <w:spacing w:before="240"/>
        <w:jc w:val="both"/>
        <w:rPr>
          <w:rFonts w:ascii="Times New Roman" w:hAnsi="Times New Roman"/>
          <w:sz w:val="24"/>
          <w:szCs w:val="24"/>
        </w:rPr>
      </w:pPr>
      <w:r>
        <w:rPr>
          <w:rFonts w:ascii="Times New Roman" w:hAnsi="Times New Roman"/>
          <w:sz w:val="24"/>
          <w:szCs w:val="24"/>
        </w:rPr>
        <w:t>Pour plus d’informations et des détails sur ces paiements tels que l’identité du bénéficiaire, la description du paiement, la base juridique, les dates de paiements etc., et ce par entreprises, sont disponibles s</w:t>
      </w:r>
      <w:r w:rsidRPr="008614DD">
        <w:rPr>
          <w:rFonts w:ascii="Times New Roman" w:hAnsi="Times New Roman"/>
          <w:sz w:val="24"/>
          <w:szCs w:val="24"/>
        </w:rPr>
        <w:t>ur le portail public</w:t>
      </w:r>
      <w:r w:rsidRPr="008614DD">
        <w:rPr>
          <w:rStyle w:val="Appelnotedebasdep"/>
          <w:rFonts w:ascii="Times New Roman" w:hAnsi="Times New Roman"/>
          <w:sz w:val="24"/>
          <w:szCs w:val="24"/>
        </w:rPr>
        <w:footnoteReference w:id="24"/>
      </w:r>
      <w:r w:rsidRPr="008614DD">
        <w:rPr>
          <w:rFonts w:ascii="Times New Roman" w:hAnsi="Times New Roman"/>
          <w:sz w:val="24"/>
          <w:szCs w:val="24"/>
        </w:rPr>
        <w:t xml:space="preserve"> des données de l’</w:t>
      </w:r>
      <w:r>
        <w:rPr>
          <w:rFonts w:ascii="Times New Roman" w:hAnsi="Times New Roman"/>
          <w:sz w:val="24"/>
          <w:szCs w:val="24"/>
        </w:rPr>
        <w:t>ITIE-RDC.</w:t>
      </w:r>
      <w:r w:rsidRPr="008614DD">
        <w:rPr>
          <w:rFonts w:ascii="Times New Roman" w:hAnsi="Times New Roman"/>
          <w:sz w:val="24"/>
          <w:szCs w:val="24"/>
        </w:rPr>
        <w:t xml:space="preserve"> </w:t>
      </w:r>
    </w:p>
    <w:p w14:paraId="5AF33056" w14:textId="77777777" w:rsidR="00005C6E" w:rsidRPr="003163B1" w:rsidRDefault="00005C6E" w:rsidP="00005C6E">
      <w:pPr>
        <w:shd w:val="clear" w:color="auto" w:fill="FFFFFF"/>
        <w:jc w:val="both"/>
        <w:rPr>
          <w:rFonts w:ascii="Times New Roman" w:hAnsi="Times New Roman"/>
          <w:iCs/>
          <w:color w:val="000000"/>
          <w:sz w:val="24"/>
          <w:szCs w:val="24"/>
        </w:rPr>
      </w:pPr>
      <w:r w:rsidRPr="008614DD">
        <w:rPr>
          <w:rFonts w:ascii="Times New Roman" w:hAnsi="Times New Roman"/>
          <w:sz w:val="24"/>
          <w:szCs w:val="24"/>
        </w:rPr>
        <w:t>Dans le cadre de la mise en œuvre des recommandations issues des Rapport ITIE-RDC</w:t>
      </w:r>
      <w:r w:rsidRPr="003163B1">
        <w:rPr>
          <w:rFonts w:ascii="Times New Roman" w:hAnsi="Times New Roman"/>
          <w:sz w:val="24"/>
          <w:szCs w:val="24"/>
        </w:rPr>
        <w:t xml:space="preserve"> précédents, l’une d’elles portait sur « </w:t>
      </w:r>
      <w:r w:rsidRPr="003163B1">
        <w:rPr>
          <w:rFonts w:ascii="Times New Roman" w:hAnsi="Times New Roman"/>
          <w:i/>
          <w:iCs/>
          <w:color w:val="000000"/>
          <w:sz w:val="24"/>
          <w:szCs w:val="24"/>
        </w:rPr>
        <w:t>la mise en place des mécanismes en vue d’assurer la traçabilité des dépenses sociales </w:t>
      </w:r>
      <w:r w:rsidRPr="003163B1">
        <w:rPr>
          <w:rFonts w:ascii="Times New Roman" w:hAnsi="Times New Roman"/>
          <w:iCs/>
          <w:color w:val="000000"/>
          <w:sz w:val="24"/>
          <w:szCs w:val="24"/>
        </w:rPr>
        <w:t>» dans l’objectif de maximiser leur impact sur les populations locales. L’exécution de cette recommandation n’a pas été facile à cause d’une compréhension controversée du concept « dépense sociale » entre les Entreprises et la Société civile. En vue de solutionner ce problème, les parties prenantes, à l’issue de l’atelier tenu à Lubumbashi au mois de juin 2016 sur la question, ont convenu de se retrouver pour  harmoniser la  définition et le  référentiel des dépenses sociales.</w:t>
      </w:r>
    </w:p>
    <w:p w14:paraId="3E9248F4" w14:textId="77777777" w:rsidR="00005C6E" w:rsidRPr="003163B1" w:rsidRDefault="00005C6E" w:rsidP="00005C6E">
      <w:pPr>
        <w:shd w:val="clear" w:color="auto" w:fill="FFFFFF"/>
        <w:jc w:val="both"/>
        <w:rPr>
          <w:rFonts w:ascii="Times New Roman" w:hAnsi="Times New Roman"/>
          <w:sz w:val="24"/>
          <w:szCs w:val="24"/>
        </w:rPr>
      </w:pPr>
      <w:r w:rsidRPr="003163B1">
        <w:rPr>
          <w:rFonts w:ascii="Times New Roman" w:hAnsi="Times New Roman"/>
          <w:sz w:val="24"/>
          <w:szCs w:val="24"/>
        </w:rPr>
        <w:t xml:space="preserve">Ainsi à l’issue de l’atelier de janvier 2018, une commission composée des délégués de la Société Civile et des entreprises, a été mise en place par les parties prenantes. </w:t>
      </w:r>
    </w:p>
    <w:p w14:paraId="0D05A032" w14:textId="77777777" w:rsidR="00005C6E" w:rsidRPr="003163B1" w:rsidRDefault="00005C6E" w:rsidP="00005C6E">
      <w:pPr>
        <w:shd w:val="clear" w:color="auto" w:fill="FFFFFF"/>
        <w:jc w:val="both"/>
        <w:rPr>
          <w:rFonts w:ascii="Times New Roman" w:hAnsi="Times New Roman"/>
          <w:sz w:val="24"/>
          <w:szCs w:val="24"/>
        </w:rPr>
      </w:pPr>
      <w:r w:rsidRPr="003163B1">
        <w:rPr>
          <w:rFonts w:ascii="Times New Roman" w:hAnsi="Times New Roman"/>
          <w:sz w:val="24"/>
          <w:szCs w:val="24"/>
        </w:rPr>
        <w:t>Cette commission s’est réunie du 08 au 09 mars 2018 et a convenu de ce qui suit :</w:t>
      </w:r>
    </w:p>
    <w:p w14:paraId="2BDF52B1" w14:textId="77777777" w:rsidR="00005C6E" w:rsidRPr="003163B1" w:rsidRDefault="00005C6E" w:rsidP="00005C6E">
      <w:pPr>
        <w:shd w:val="clear" w:color="auto" w:fill="FFFFFF"/>
        <w:ind w:left="284"/>
        <w:jc w:val="both"/>
        <w:rPr>
          <w:rFonts w:ascii="Times New Roman" w:hAnsi="Times New Roman"/>
          <w:b/>
          <w:color w:val="2E74B5" w:themeColor="accent1" w:themeShade="BF"/>
          <w:sz w:val="24"/>
          <w:szCs w:val="24"/>
        </w:rPr>
      </w:pPr>
      <w:r w:rsidRPr="003163B1">
        <w:rPr>
          <w:rFonts w:ascii="Times New Roman" w:hAnsi="Times New Roman"/>
          <w:b/>
          <w:color w:val="2E74B5" w:themeColor="accent1" w:themeShade="BF"/>
          <w:sz w:val="24"/>
          <w:szCs w:val="24"/>
        </w:rPr>
        <w:t>De la dépense sociale </w:t>
      </w:r>
    </w:p>
    <w:p w14:paraId="31741071" w14:textId="77777777" w:rsidR="00005C6E" w:rsidRPr="003163B1" w:rsidRDefault="00005C6E" w:rsidP="00005C6E">
      <w:pPr>
        <w:shd w:val="clear" w:color="auto" w:fill="FFFFFF"/>
        <w:ind w:left="284"/>
        <w:jc w:val="both"/>
        <w:rPr>
          <w:rFonts w:ascii="Times New Roman" w:hAnsi="Times New Roman"/>
          <w:sz w:val="24"/>
          <w:szCs w:val="24"/>
        </w:rPr>
      </w:pPr>
      <w:r w:rsidRPr="003163B1">
        <w:rPr>
          <w:rFonts w:ascii="Times New Roman" w:hAnsi="Times New Roman"/>
          <w:sz w:val="24"/>
          <w:szCs w:val="24"/>
        </w:rPr>
        <w:t>« </w:t>
      </w:r>
      <w:r w:rsidRPr="003163B1">
        <w:rPr>
          <w:rFonts w:ascii="Times New Roman" w:hAnsi="Times New Roman"/>
          <w:i/>
          <w:sz w:val="24"/>
          <w:szCs w:val="24"/>
        </w:rPr>
        <w:t>Est considérée comme dépense sociale, tout paiement, en nature, ou en numéraire, obligatoire ou volontaire, effectué par une entreprise ou autre, pour l’amélioration des conditions de vie de la communauté impactée ou non par ses activités, et qui répond aux préoccupations des parties prenantes, sauf celui fait pour son personnel et pour elle-même.</w:t>
      </w:r>
      <w:r w:rsidRPr="003163B1">
        <w:rPr>
          <w:rFonts w:ascii="Times New Roman" w:hAnsi="Times New Roman"/>
          <w:sz w:val="24"/>
          <w:szCs w:val="24"/>
        </w:rPr>
        <w:t> »</w:t>
      </w:r>
    </w:p>
    <w:p w14:paraId="4CA7851C" w14:textId="77777777" w:rsidR="00005C6E" w:rsidRPr="003163B1" w:rsidRDefault="00005C6E" w:rsidP="00005C6E">
      <w:pPr>
        <w:shd w:val="clear" w:color="auto" w:fill="FFFFFF"/>
        <w:ind w:left="284"/>
        <w:jc w:val="both"/>
        <w:rPr>
          <w:rFonts w:ascii="Times New Roman" w:hAnsi="Times New Roman"/>
          <w:b/>
          <w:color w:val="2E74B5" w:themeColor="accent1" w:themeShade="BF"/>
          <w:sz w:val="24"/>
          <w:szCs w:val="24"/>
        </w:rPr>
      </w:pPr>
      <w:r w:rsidRPr="003163B1">
        <w:rPr>
          <w:rFonts w:ascii="Times New Roman" w:hAnsi="Times New Roman"/>
          <w:b/>
          <w:color w:val="2E74B5" w:themeColor="accent1" w:themeShade="BF"/>
          <w:sz w:val="24"/>
          <w:szCs w:val="24"/>
        </w:rPr>
        <w:t>Du référentiel des dépenses sociales</w:t>
      </w:r>
    </w:p>
    <w:p w14:paraId="51AA56A4" w14:textId="77777777" w:rsidR="00005C6E" w:rsidRPr="003163B1" w:rsidRDefault="00005C6E" w:rsidP="00005C6E">
      <w:pPr>
        <w:ind w:left="284"/>
        <w:rPr>
          <w:rFonts w:ascii="Times New Roman" w:hAnsi="Times New Roman"/>
          <w:sz w:val="24"/>
          <w:szCs w:val="24"/>
        </w:rPr>
      </w:pPr>
      <w:r w:rsidRPr="003163B1">
        <w:rPr>
          <w:rFonts w:ascii="Times New Roman" w:hAnsi="Times New Roman"/>
          <w:sz w:val="24"/>
          <w:szCs w:val="24"/>
        </w:rPr>
        <w:t xml:space="preserve">Le référentiel convenu est disponible  </w:t>
      </w:r>
      <w:r w:rsidRPr="006E53CE">
        <w:rPr>
          <w:rFonts w:ascii="Times New Roman" w:hAnsi="Times New Roman"/>
          <w:sz w:val="24"/>
          <w:szCs w:val="24"/>
        </w:rPr>
        <w:t>sur notre site</w:t>
      </w:r>
      <w:r>
        <w:rPr>
          <w:rStyle w:val="Appelnotedebasdep"/>
          <w:rFonts w:ascii="Times New Roman" w:hAnsi="Times New Roman"/>
          <w:sz w:val="24"/>
          <w:szCs w:val="24"/>
        </w:rPr>
        <w:footnoteReference w:id="25"/>
      </w:r>
      <w:r w:rsidRPr="003163B1">
        <w:rPr>
          <w:rStyle w:val="Lienhypertexte"/>
          <w:rFonts w:ascii="Times New Roman" w:hAnsi="Times New Roman"/>
          <w:sz w:val="24"/>
          <w:szCs w:val="24"/>
        </w:rPr>
        <w:t xml:space="preserve"> </w:t>
      </w:r>
    </w:p>
    <w:p w14:paraId="0ECAB8C2"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lastRenderedPageBreak/>
        <w:t xml:space="preserve">Pour les prochains rapports, la commission a recommandé au Comité Exécutif de proposer et de soumettre aux parties prenantes un nouveau formulaire adéquat pour la déclaration de la dépense sociale. </w:t>
      </w:r>
    </w:p>
    <w:p w14:paraId="121EA287"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En ce qui concerne les mécanismes de traçabilité des dépenses sociales, une structure devrait être mise en place pour faire le suivi du respect des engagements des entreprises minières vis-à-vis des populations locales, étant donné que le Code Minier en vigueur en 2016 ne prévoyait rien à cet effet.  Par contre, pour les entreprises pétrolières exploitant le bassin côtier, il existe une structure de suivi du respect des engagements appelée Comité de Concertation de  Moanda (COCODEM en sigle), regroupant les représentants de l’autorité coutumière locale, les organisations de la société civile et les représentants des entreprises.</w:t>
      </w:r>
    </w:p>
    <w:p w14:paraId="3C4DC36D" w14:textId="77777777" w:rsidR="00005C6E" w:rsidRPr="003163B1" w:rsidRDefault="00005C6E" w:rsidP="00005C6E">
      <w:pPr>
        <w:autoSpaceDE w:val="0"/>
        <w:autoSpaceDN w:val="0"/>
        <w:adjustRightInd w:val="0"/>
        <w:spacing w:after="0"/>
        <w:jc w:val="both"/>
        <w:rPr>
          <w:rFonts w:ascii="Times New Roman" w:hAnsi="Times New Roman"/>
          <w:sz w:val="24"/>
          <w:szCs w:val="24"/>
        </w:rPr>
      </w:pPr>
      <w:r w:rsidRPr="003163B1">
        <w:rPr>
          <w:rFonts w:ascii="Times New Roman" w:hAnsi="Times New Roman"/>
          <w:sz w:val="24"/>
          <w:szCs w:val="24"/>
        </w:rPr>
        <w:t xml:space="preserve">Dans le but de repréciser les éléments relatifs à la responsabilité sociale et environnementale des entreprises minières à l’égard des communautés affectées par leurs projets, la Loi n°18/001 du 09 mars 2018 modifiant et complétant la Loi n° 007/2002 du 11 juillet 2002 portant Code minier,  a introduit, comme innovation, le cahier des charges  pour  les sociétés minières en rapport avec leur responsabilité sociale vis-à-vis des populations locales (PGES). (Voir </w:t>
      </w:r>
      <w:r w:rsidRPr="003163B1">
        <w:rPr>
          <w:rFonts w:ascii="Times New Roman" w:hAnsi="Times New Roman"/>
          <w:i/>
          <w:sz w:val="24"/>
          <w:szCs w:val="24"/>
        </w:rPr>
        <w:t>innovation N</w:t>
      </w:r>
      <w:r w:rsidRPr="003163B1">
        <w:rPr>
          <w:rFonts w:ascii="Times New Roman" w:hAnsi="Times New Roman"/>
          <w:i/>
          <w:sz w:val="24"/>
          <w:szCs w:val="24"/>
          <w:vertAlign w:val="superscript"/>
        </w:rPr>
        <w:t>o</w:t>
      </w:r>
      <w:r w:rsidRPr="003163B1">
        <w:rPr>
          <w:rFonts w:ascii="Times New Roman" w:hAnsi="Times New Roman"/>
          <w:i/>
          <w:sz w:val="24"/>
          <w:szCs w:val="24"/>
        </w:rPr>
        <w:t>14</w:t>
      </w:r>
      <w:r w:rsidRPr="003163B1">
        <w:rPr>
          <w:rFonts w:ascii="Times New Roman" w:hAnsi="Times New Roman"/>
          <w:sz w:val="24"/>
          <w:szCs w:val="24"/>
        </w:rPr>
        <w:t xml:space="preserve"> de l’exposé des motifs).  </w:t>
      </w:r>
    </w:p>
    <w:p w14:paraId="0E4EF0C9" w14:textId="77777777" w:rsidR="00005C6E" w:rsidRDefault="00005C6E" w:rsidP="00005C6E">
      <w:pPr>
        <w:jc w:val="both"/>
        <w:rPr>
          <w:rFonts w:ascii="Times New Roman" w:hAnsi="Times New Roman"/>
          <w:sz w:val="24"/>
          <w:szCs w:val="24"/>
        </w:rPr>
      </w:pPr>
    </w:p>
    <w:p w14:paraId="05780DBD" w14:textId="4C59ED24" w:rsidR="00005C6E" w:rsidRPr="00911837" w:rsidRDefault="00005C6E" w:rsidP="00005C6E">
      <w:pPr>
        <w:jc w:val="both"/>
        <w:rPr>
          <w:rFonts w:ascii="Times New Roman" w:hAnsi="Times New Roman"/>
          <w:sz w:val="24"/>
          <w:szCs w:val="24"/>
        </w:rPr>
      </w:pPr>
      <w:r w:rsidRPr="003163B1">
        <w:rPr>
          <w:rFonts w:ascii="Times New Roman" w:hAnsi="Times New Roman"/>
          <w:sz w:val="24"/>
          <w:szCs w:val="24"/>
        </w:rPr>
        <w:t>Dorénavant, le demandeur du  droit  minier et/ou  de carrières a l’obligation d’obtenir l’</w:t>
      </w:r>
      <w:r w:rsidR="00B41722">
        <w:rPr>
          <w:rFonts w:ascii="Times New Roman" w:hAnsi="Times New Roman"/>
          <w:sz w:val="24"/>
          <w:szCs w:val="24"/>
        </w:rPr>
        <w:t>approbation de son PGES et EIES</w:t>
      </w:r>
      <w:r w:rsidRPr="003163B1">
        <w:rPr>
          <w:rFonts w:ascii="Times New Roman" w:hAnsi="Times New Roman"/>
          <w:sz w:val="24"/>
          <w:szCs w:val="24"/>
        </w:rPr>
        <w:t xml:space="preserve">, </w:t>
      </w:r>
      <w:r>
        <w:rPr>
          <w:rFonts w:ascii="Times New Roman" w:hAnsi="Times New Roman"/>
          <w:sz w:val="24"/>
          <w:szCs w:val="24"/>
        </w:rPr>
        <w:t xml:space="preserve">de </w:t>
      </w:r>
      <w:r w:rsidRPr="003163B1">
        <w:rPr>
          <w:rFonts w:ascii="Times New Roman" w:hAnsi="Times New Roman"/>
          <w:sz w:val="24"/>
          <w:szCs w:val="24"/>
        </w:rPr>
        <w:t>déposer un acte d’engagement de se conformer au cahier des charges définissant la responsabilité sociétale vis-à-vis des communautés locales affectées par les activités du projet</w:t>
      </w:r>
      <w:r>
        <w:rPr>
          <w:rFonts w:ascii="Times New Roman" w:hAnsi="Times New Roman"/>
          <w:sz w:val="24"/>
          <w:szCs w:val="24"/>
        </w:rPr>
        <w:t xml:space="preserve">, et </w:t>
      </w:r>
      <w:r w:rsidRPr="00911837">
        <w:rPr>
          <w:rFonts w:ascii="Times New Roman" w:hAnsi="Times New Roman"/>
          <w:sz w:val="24"/>
          <w:szCs w:val="24"/>
        </w:rPr>
        <w:t xml:space="preserve">de publier une synthèse de </w:t>
      </w:r>
      <w:r>
        <w:rPr>
          <w:rFonts w:ascii="Times New Roman" w:hAnsi="Times New Roman"/>
          <w:sz w:val="24"/>
          <w:szCs w:val="24"/>
        </w:rPr>
        <w:t>ces documents</w:t>
      </w:r>
      <w:r w:rsidRPr="00911837">
        <w:rPr>
          <w:rFonts w:ascii="Times New Roman" w:hAnsi="Times New Roman"/>
          <w:sz w:val="24"/>
          <w:szCs w:val="24"/>
        </w:rPr>
        <w:t xml:space="preserve"> sur son site web, s’il en a un. De même, le Ministère en charge des Mines, dans les quinze jours après réception </w:t>
      </w:r>
      <w:r>
        <w:rPr>
          <w:rFonts w:ascii="Times New Roman" w:hAnsi="Times New Roman"/>
          <w:sz w:val="24"/>
          <w:szCs w:val="24"/>
        </w:rPr>
        <w:t>desdits documents</w:t>
      </w:r>
      <w:r w:rsidRPr="00911837">
        <w:rPr>
          <w:rFonts w:ascii="Times New Roman" w:hAnsi="Times New Roman"/>
          <w:sz w:val="24"/>
          <w:szCs w:val="24"/>
        </w:rPr>
        <w:t xml:space="preserve">, a l’obligation de publier la même synthèse sur </w:t>
      </w:r>
      <w:r>
        <w:rPr>
          <w:rFonts w:ascii="Times New Roman" w:hAnsi="Times New Roman"/>
          <w:sz w:val="24"/>
          <w:szCs w:val="24"/>
        </w:rPr>
        <w:t>le</w:t>
      </w:r>
      <w:r w:rsidRPr="00911837">
        <w:rPr>
          <w:rFonts w:ascii="Times New Roman" w:hAnsi="Times New Roman"/>
          <w:sz w:val="24"/>
          <w:szCs w:val="24"/>
        </w:rPr>
        <w:t xml:space="preserve"> site web</w:t>
      </w:r>
      <w:r>
        <w:rPr>
          <w:rFonts w:ascii="Times New Roman" w:hAnsi="Times New Roman"/>
          <w:sz w:val="24"/>
          <w:szCs w:val="24"/>
        </w:rPr>
        <w:t xml:space="preserve"> du Ministère.</w:t>
      </w:r>
      <w:r w:rsidRPr="00911837">
        <w:rPr>
          <w:rFonts w:ascii="Times New Roman" w:hAnsi="Times New Roman"/>
          <w:sz w:val="24"/>
          <w:szCs w:val="24"/>
        </w:rPr>
        <w:t xml:space="preserve"> </w:t>
      </w:r>
      <w:r w:rsidRPr="003163B1">
        <w:rPr>
          <w:rFonts w:ascii="Times New Roman" w:hAnsi="Times New Roman"/>
          <w:sz w:val="24"/>
          <w:szCs w:val="24"/>
        </w:rPr>
        <w:t>(</w:t>
      </w:r>
      <w:r w:rsidRPr="00911837">
        <w:rPr>
          <w:rFonts w:ascii="Times New Roman" w:hAnsi="Times New Roman"/>
          <w:i/>
          <w:sz w:val="24"/>
          <w:szCs w:val="24"/>
        </w:rPr>
        <w:t>Article 42, Article 71 literas b, c, d, e, f, g et h, Art. 80, etc.</w:t>
      </w:r>
      <w:r w:rsidRPr="00911837">
        <w:rPr>
          <w:rFonts w:ascii="Times New Roman" w:hAnsi="Times New Roman"/>
          <w:sz w:val="24"/>
          <w:szCs w:val="24"/>
        </w:rPr>
        <w:t>)</w:t>
      </w:r>
    </w:p>
    <w:p w14:paraId="69B3C068"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Le   Code Minier retient et chargent les structures suivantes à assurer le suivi des engagements des termes du cahier des charges des opérateurs miniers : l’Agence Congolaise de l’Environnement et  le Fonds national de promotion et de service social. Elles travaill</w:t>
      </w:r>
      <w:r>
        <w:rPr>
          <w:rFonts w:ascii="Times New Roman" w:hAnsi="Times New Roman"/>
          <w:sz w:val="24"/>
          <w:szCs w:val="24"/>
        </w:rPr>
        <w:t>eront</w:t>
      </w:r>
      <w:r w:rsidRPr="003163B1">
        <w:rPr>
          <w:rFonts w:ascii="Times New Roman" w:hAnsi="Times New Roman"/>
          <w:sz w:val="24"/>
          <w:szCs w:val="24"/>
        </w:rPr>
        <w:t xml:space="preserve"> en étroite collaboration avec la Direction chargée de la protection  de  l’environnement  minier et,  le  cas échéant, avec tout  autre  organisme de  l’Etat  concerné.</w:t>
      </w:r>
    </w:p>
    <w:p w14:paraId="2FE95130" w14:textId="77777777" w:rsidR="00005C6E" w:rsidRPr="003163B1" w:rsidRDefault="00005C6E" w:rsidP="00005C6E">
      <w:pPr>
        <w:jc w:val="both"/>
        <w:rPr>
          <w:rFonts w:ascii="Times New Roman" w:hAnsi="Times New Roman"/>
          <w:sz w:val="24"/>
          <w:szCs w:val="24"/>
        </w:rPr>
      </w:pPr>
      <w:r w:rsidRPr="003163B1">
        <w:rPr>
          <w:rFonts w:ascii="Times New Roman" w:hAnsi="Times New Roman"/>
          <w:sz w:val="24"/>
          <w:szCs w:val="24"/>
        </w:rPr>
        <w:t>Le Code Minier innove également en ce sens qu’il prévoit des sanctions à l’encontre des contrevenants. L’article 27, Titre XII, relatif aux manquements aux obligations administratives, sociales et des sanctions, chapitre 1</w:t>
      </w:r>
      <w:r w:rsidRPr="003163B1">
        <w:rPr>
          <w:rFonts w:ascii="Times New Roman" w:hAnsi="Times New Roman"/>
          <w:sz w:val="24"/>
          <w:szCs w:val="24"/>
          <w:vertAlign w:val="superscript"/>
        </w:rPr>
        <w:t>er</w:t>
      </w:r>
      <w:r w:rsidRPr="003163B1">
        <w:rPr>
          <w:rFonts w:ascii="Times New Roman" w:hAnsi="Times New Roman"/>
          <w:sz w:val="24"/>
          <w:szCs w:val="24"/>
        </w:rPr>
        <w:t>, précise qu’une fois que le non-respect des engagements est constaté par les institutions chargées à cet effet, un rapport est soumis au Ministre ayant les mines dans ses attributions et au Cadastre Minier qui se chargera de notifier l’opérateur</w:t>
      </w:r>
      <w:r w:rsidRPr="003163B1">
        <w:rPr>
          <w:rFonts w:ascii="Times New Roman" w:eastAsia="Arial Narrow" w:hAnsi="Times New Roman"/>
          <w:b/>
          <w:i/>
          <w:sz w:val="24"/>
          <w:szCs w:val="24"/>
        </w:rPr>
        <w:t xml:space="preserve">. </w:t>
      </w:r>
      <w:r w:rsidRPr="003163B1">
        <w:rPr>
          <w:rFonts w:ascii="Times New Roman" w:hAnsi="Times New Roman"/>
          <w:sz w:val="24"/>
          <w:szCs w:val="24"/>
        </w:rPr>
        <w:t>Les sanctions sont prévues par l’article 299 bis.</w:t>
      </w:r>
    </w:p>
    <w:p w14:paraId="24DC7E7F" w14:textId="77777777" w:rsidR="00005C6E" w:rsidRPr="003163B1" w:rsidRDefault="00005C6E" w:rsidP="00005C6E">
      <w:pPr>
        <w:spacing w:line="280" w:lineRule="exact"/>
        <w:ind w:right="-43"/>
        <w:jc w:val="both"/>
        <w:rPr>
          <w:rFonts w:ascii="Times New Roman" w:hAnsi="Times New Roman"/>
          <w:sz w:val="24"/>
          <w:szCs w:val="24"/>
        </w:rPr>
      </w:pPr>
      <w:r w:rsidRPr="003163B1">
        <w:rPr>
          <w:rFonts w:ascii="Times New Roman" w:eastAsia="Arial Narrow" w:hAnsi="Times New Roman"/>
          <w:sz w:val="24"/>
          <w:szCs w:val="24"/>
        </w:rPr>
        <w:t>Cependant le Code ne prévoit aucune sanction (disposition), relative à la soumission et au respect du PGES pour les détenteurs actuels des titres miniers.</w:t>
      </w:r>
    </w:p>
    <w:p w14:paraId="39EDA2BB" w14:textId="77777777" w:rsidR="00005C6E" w:rsidRPr="0066414D" w:rsidRDefault="00005C6E" w:rsidP="00005C6E">
      <w:pPr>
        <w:spacing w:before="7" w:line="140" w:lineRule="exact"/>
        <w:jc w:val="both"/>
        <w:rPr>
          <w:rFonts w:ascii="Garamond" w:hAnsi="Garamond" w:cstheme="majorHAnsi"/>
          <w:sz w:val="24"/>
          <w:szCs w:val="24"/>
        </w:rPr>
      </w:pPr>
      <w:r>
        <w:rPr>
          <w:rFonts w:ascii="Garamond" w:hAnsi="Garamond" w:cstheme="majorHAnsi"/>
          <w:noProof/>
          <w:sz w:val="24"/>
          <w:szCs w:val="24"/>
          <w:lang w:eastAsia="fr-FR"/>
        </w:rPr>
        <mc:AlternateContent>
          <mc:Choice Requires="wps">
            <w:drawing>
              <wp:anchor distT="0" distB="0" distL="114300" distR="114300" simplePos="0" relativeHeight="251684864" behindDoc="0" locked="0" layoutInCell="1" allowOverlap="1" wp14:anchorId="263803D8" wp14:editId="4DF82DE4">
                <wp:simplePos x="0" y="0"/>
                <wp:positionH relativeFrom="column">
                  <wp:posOffset>47943</wp:posOffset>
                </wp:positionH>
                <wp:positionV relativeFrom="paragraph">
                  <wp:posOffset>107950</wp:posOffset>
                </wp:positionV>
                <wp:extent cx="6215062" cy="1062038"/>
                <wp:effectExtent l="0" t="0" r="14605" b="24130"/>
                <wp:wrapNone/>
                <wp:docPr id="16" name="Zone de texte 16"/>
                <wp:cNvGraphicFramePr/>
                <a:graphic xmlns:a="http://schemas.openxmlformats.org/drawingml/2006/main">
                  <a:graphicData uri="http://schemas.microsoft.com/office/word/2010/wordprocessingShape">
                    <wps:wsp>
                      <wps:cNvSpPr txBox="1"/>
                      <wps:spPr>
                        <a:xfrm>
                          <a:off x="0" y="0"/>
                          <a:ext cx="6215062" cy="1062038"/>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0E995E0" w14:textId="4AAC1897" w:rsidR="00553BF2" w:rsidRPr="00AB5166" w:rsidRDefault="00553BF2" w:rsidP="00005C6E">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B5166">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C27A158" w14:textId="77777777" w:rsidR="00553BF2" w:rsidRDefault="00553BF2" w:rsidP="00005C6E">
                            <w:pPr>
                              <w:pStyle w:val="Paragraphedeliste"/>
                              <w:spacing w:after="0" w:line="360" w:lineRule="auto"/>
                              <w:ind w:left="0"/>
                              <w:rPr>
                                <w:rFonts w:ascii="Times New Roman" w:eastAsia="Times New Roman" w:hAnsi="Times New Roman" w:cs="Times New Roman"/>
                                <w:color w:val="000000"/>
                                <w:sz w:val="24"/>
                                <w:szCs w:val="24"/>
                                <w:lang w:eastAsia="fr-FR"/>
                              </w:rPr>
                            </w:pPr>
                            <w:r w:rsidRPr="00AB5166">
                              <w:rPr>
                                <w:rFonts w:ascii="Times New Roman" w:eastAsia="Times New Roman" w:hAnsi="Times New Roman" w:cs="Times New Roman"/>
                                <w:b/>
                                <w:color w:val="000000"/>
                                <w:sz w:val="24"/>
                                <w:szCs w:val="24"/>
                                <w:lang w:eastAsia="fr-FR"/>
                              </w:rPr>
                              <w:t>Au Comité Exécutif</w:t>
                            </w:r>
                            <w:r>
                              <w:rPr>
                                <w:rFonts w:ascii="Times New Roman" w:eastAsia="Times New Roman" w:hAnsi="Times New Roman" w:cs="Times New Roman"/>
                                <w:color w:val="000000"/>
                                <w:sz w:val="24"/>
                                <w:szCs w:val="24"/>
                                <w:lang w:eastAsia="fr-FR"/>
                              </w:rPr>
                              <w:t xml:space="preserve"> :</w:t>
                            </w:r>
                          </w:p>
                          <w:p w14:paraId="27658742" w14:textId="77777777" w:rsidR="00553BF2" w:rsidRDefault="00553BF2" w:rsidP="00005C6E">
                            <w:pPr>
                              <w:pStyle w:val="Paragraphedeliste"/>
                              <w:spacing w:after="0" w:line="240" w:lineRule="auto"/>
                              <w:ind w:left="0"/>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D’améliorer le formulaire de déclaration de la dépense sociale  suivant le nouveau référentiel adopté par les parties prenantes. </w:t>
                            </w:r>
                          </w:p>
                          <w:p w14:paraId="7D02C417" w14:textId="77777777" w:rsidR="00553BF2" w:rsidRDefault="00553BF2" w:rsidP="00005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3803D8" id="Zone de texte 16" o:spid="_x0000_s1034" type="#_x0000_t202" style="position:absolute;left:0;text-align:left;margin-left:3.8pt;margin-top:8.5pt;width:489.35pt;height:83.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" fillcolor="#deeaf6 [660]" strokecolor="#deeaf6 [660]" strokeweight=".5pt">
                <v:textbox>
                  <w:txbxContent>
                    <w:p w14:paraId="70E995E0" w14:textId="4AAC1897" w:rsidR="00553BF2" w:rsidRPr="00AB5166" w:rsidRDefault="00553BF2" w:rsidP="00005C6E">
                      <w:pPr>
                        <w:pStyle w:val="Paragraphedeliste"/>
                        <w:spacing w:after="0" w:line="360" w:lineRule="auto"/>
                        <w:ind w:left="0"/>
                        <w:rPr>
                          <w:rFonts w:ascii="Times New Roman" w:eastAsia="Times New Roman" w:hAnsi="Times New Roman" w:cs="Times New Roman"/>
                          <w:b/>
                          <w:color w:val="1F3864" w:themeColor="accent5" w:themeShade="80"/>
                          <w:sz w:val="24"/>
                          <w:szCs w:val="24"/>
                          <w:u w:val="single"/>
                          <w:lang w:eastAsia="fr-FR"/>
                        </w:rPr>
                      </w:pPr>
                      <w:r w:rsidRPr="00AB5166">
                        <w:rPr>
                          <w:rFonts w:ascii="Times New Roman" w:eastAsia="Times New Roman" w:hAnsi="Times New Roman" w:cs="Times New Roman"/>
                          <w:b/>
                          <w:color w:val="1F3864" w:themeColor="accent5" w:themeShade="80"/>
                          <w:sz w:val="24"/>
                          <w:szCs w:val="24"/>
                          <w:u w:val="single"/>
                          <w:lang w:eastAsia="fr-FR"/>
                        </w:rPr>
                        <w:t>Recommandation</w:t>
                      </w:r>
                      <w:r w:rsidRPr="00D256CC">
                        <w:rPr>
                          <w:rFonts w:ascii="Times New Roman" w:eastAsia="Times New Roman" w:hAnsi="Times New Roman" w:cs="Times New Roman"/>
                          <w:b/>
                          <w:color w:val="1F3864" w:themeColor="accent5" w:themeShade="80"/>
                          <w:sz w:val="24"/>
                          <w:szCs w:val="24"/>
                          <w:lang w:eastAsia="fr-FR"/>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C27A158" w14:textId="77777777" w:rsidR="00553BF2" w:rsidRDefault="00553BF2" w:rsidP="00005C6E">
                      <w:pPr>
                        <w:pStyle w:val="Paragraphedeliste"/>
                        <w:spacing w:after="0" w:line="360" w:lineRule="auto"/>
                        <w:ind w:left="0"/>
                        <w:rPr>
                          <w:rFonts w:ascii="Times New Roman" w:eastAsia="Times New Roman" w:hAnsi="Times New Roman" w:cs="Times New Roman"/>
                          <w:color w:val="000000"/>
                          <w:sz w:val="24"/>
                          <w:szCs w:val="24"/>
                          <w:lang w:eastAsia="fr-FR"/>
                        </w:rPr>
                      </w:pPr>
                      <w:r w:rsidRPr="00AB5166">
                        <w:rPr>
                          <w:rFonts w:ascii="Times New Roman" w:eastAsia="Times New Roman" w:hAnsi="Times New Roman" w:cs="Times New Roman"/>
                          <w:b/>
                          <w:color w:val="000000"/>
                          <w:sz w:val="24"/>
                          <w:szCs w:val="24"/>
                          <w:lang w:eastAsia="fr-FR"/>
                        </w:rPr>
                        <w:t>Au Comité Exécutif</w:t>
                      </w:r>
                      <w:r>
                        <w:rPr>
                          <w:rFonts w:ascii="Times New Roman" w:eastAsia="Times New Roman" w:hAnsi="Times New Roman" w:cs="Times New Roman"/>
                          <w:color w:val="000000"/>
                          <w:sz w:val="24"/>
                          <w:szCs w:val="24"/>
                          <w:lang w:eastAsia="fr-FR"/>
                        </w:rPr>
                        <w:t xml:space="preserve"> :</w:t>
                      </w:r>
                    </w:p>
                    <w:p w14:paraId="27658742" w14:textId="77777777" w:rsidR="00553BF2" w:rsidRDefault="00553BF2" w:rsidP="00005C6E">
                      <w:pPr>
                        <w:pStyle w:val="Paragraphedeliste"/>
                        <w:spacing w:after="0" w:line="240" w:lineRule="auto"/>
                        <w:ind w:left="0"/>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D’améliorer le formulaire de déclaration de la dépense sociale  suivant le nouveau référentiel adopté par les parties prenantes. </w:t>
                      </w:r>
                    </w:p>
                    <w:p w14:paraId="7D02C417" w14:textId="77777777" w:rsidR="00553BF2" w:rsidRDefault="00553BF2" w:rsidP="00005C6E"/>
                  </w:txbxContent>
                </v:textbox>
              </v:shape>
            </w:pict>
          </mc:Fallback>
        </mc:AlternateContent>
      </w:r>
    </w:p>
    <w:p w14:paraId="6C88BC8B" w14:textId="77777777" w:rsidR="00005C6E" w:rsidRPr="0066414D" w:rsidRDefault="00005C6E" w:rsidP="00005C6E">
      <w:pPr>
        <w:ind w:right="70"/>
        <w:jc w:val="both"/>
        <w:rPr>
          <w:rFonts w:ascii="Garamond" w:hAnsi="Garamond" w:cstheme="majorHAnsi"/>
          <w:sz w:val="24"/>
          <w:szCs w:val="24"/>
        </w:rPr>
      </w:pPr>
    </w:p>
    <w:p w14:paraId="54B60DD1" w14:textId="77777777" w:rsidR="00005C6E" w:rsidRPr="0066414D" w:rsidRDefault="00005C6E" w:rsidP="00005C6E">
      <w:pPr>
        <w:spacing w:before="4" w:line="240" w:lineRule="exact"/>
        <w:rPr>
          <w:rFonts w:ascii="Garamond" w:hAnsi="Garamond" w:cstheme="majorHAnsi"/>
          <w:sz w:val="24"/>
          <w:szCs w:val="24"/>
        </w:rPr>
      </w:pPr>
    </w:p>
    <w:p w14:paraId="673CE55D" w14:textId="77777777" w:rsidR="00005C6E" w:rsidRDefault="00005C6E" w:rsidP="00005C6E">
      <w:r>
        <w:br w:type="page"/>
      </w:r>
    </w:p>
    <w:p w14:paraId="24CA2E5F" w14:textId="77777777" w:rsidR="00005C6E" w:rsidRDefault="00005C6E" w:rsidP="00E54F1D">
      <w:pPr>
        <w:ind w:left="142"/>
        <w:jc w:val="both"/>
        <w:rPr>
          <w:rFonts w:ascii="Times New Roman" w:hAnsi="Times New Roman"/>
          <w:sz w:val="24"/>
          <w:szCs w:val="24"/>
        </w:rPr>
      </w:pPr>
    </w:p>
    <w:p w14:paraId="7B61C5AE" w14:textId="77777777" w:rsidR="00005C6E" w:rsidRDefault="00005C6E" w:rsidP="00E54F1D">
      <w:pPr>
        <w:ind w:left="142"/>
        <w:jc w:val="both"/>
        <w:rPr>
          <w:rFonts w:ascii="Times New Roman" w:hAnsi="Times New Roman"/>
          <w:sz w:val="24"/>
          <w:szCs w:val="24"/>
        </w:rPr>
      </w:pPr>
    </w:p>
    <w:p w14:paraId="36FB3A4A" w14:textId="1FC5C3C2" w:rsidR="00E54F1D" w:rsidRPr="00F000B0" w:rsidRDefault="000668F9" w:rsidP="006E53CE">
      <w:pPr>
        <w:pStyle w:val="Titre2"/>
        <w:ind w:left="142"/>
        <w:rPr>
          <w:rFonts w:ascii="Times New Roman" w:hAnsi="Times New Roman" w:cs="Times New Roman"/>
          <w:sz w:val="24"/>
          <w:szCs w:val="24"/>
        </w:rPr>
      </w:pPr>
      <w:bookmarkStart w:id="169" w:name="_Toc516764337"/>
      <w:bookmarkStart w:id="170" w:name="_Toc518468095"/>
      <w:r>
        <w:rPr>
          <w:rFonts w:ascii="Times New Roman" w:hAnsi="Times New Roman" w:cs="Times New Roman"/>
          <w:sz w:val="24"/>
          <w:szCs w:val="24"/>
        </w:rPr>
        <w:t>VIII</w:t>
      </w:r>
      <w:r w:rsidR="00005C6E">
        <w:rPr>
          <w:rFonts w:ascii="Times New Roman" w:hAnsi="Times New Roman" w:cs="Times New Roman"/>
          <w:sz w:val="24"/>
          <w:szCs w:val="24"/>
        </w:rPr>
        <w:t>.2</w:t>
      </w:r>
      <w:r w:rsidR="00E54F1D" w:rsidRPr="00F000B0">
        <w:rPr>
          <w:rFonts w:ascii="Times New Roman" w:hAnsi="Times New Roman" w:cs="Times New Roman"/>
          <w:sz w:val="24"/>
          <w:szCs w:val="24"/>
        </w:rPr>
        <w:t xml:space="preserve">. </w:t>
      </w:r>
      <w:r w:rsidR="002F7F99" w:rsidRPr="00F000B0">
        <w:rPr>
          <w:rFonts w:ascii="Times New Roman" w:hAnsi="Times New Roman" w:cs="Times New Roman"/>
          <w:caps w:val="0"/>
          <w:sz w:val="24"/>
          <w:szCs w:val="24"/>
        </w:rPr>
        <w:t xml:space="preserve">Contribution du secteur extractif au </w:t>
      </w:r>
      <w:bookmarkEnd w:id="169"/>
      <w:r w:rsidR="002F7F99">
        <w:rPr>
          <w:rFonts w:ascii="Times New Roman" w:hAnsi="Times New Roman" w:cs="Times New Roman"/>
          <w:caps w:val="0"/>
          <w:sz w:val="24"/>
          <w:szCs w:val="24"/>
        </w:rPr>
        <w:t>PIB</w:t>
      </w:r>
      <w:bookmarkEnd w:id="170"/>
    </w:p>
    <w:p w14:paraId="5EF809EA" w14:textId="210FDC88" w:rsidR="00E54F1D" w:rsidRDefault="00E54F1D" w:rsidP="00E54F1D">
      <w:pPr>
        <w:jc w:val="both"/>
        <w:rPr>
          <w:rFonts w:ascii="Times New Roman" w:hAnsi="Times New Roman"/>
          <w:sz w:val="24"/>
          <w:szCs w:val="24"/>
        </w:rPr>
      </w:pPr>
      <w:r w:rsidRPr="00AB5853">
        <w:rPr>
          <w:rFonts w:ascii="Times New Roman" w:hAnsi="Times New Roman"/>
          <w:sz w:val="24"/>
          <w:szCs w:val="24"/>
        </w:rPr>
        <w:t xml:space="preserve">La contribution du secteur extractif au PIB (prix courant) se présente comme suit: </w:t>
      </w:r>
    </w:p>
    <w:p w14:paraId="0B7BB1DB" w14:textId="77777777" w:rsidR="003A6FE4" w:rsidRPr="00AB5853" w:rsidRDefault="003A6FE4" w:rsidP="00E54F1D">
      <w:pPr>
        <w:jc w:val="both"/>
        <w:rPr>
          <w:rFonts w:ascii="Times New Roman" w:hAnsi="Times New Roman"/>
          <w:sz w:val="24"/>
          <w:szCs w:val="24"/>
        </w:rPr>
      </w:pPr>
    </w:p>
    <w:tbl>
      <w:tblPr>
        <w:tblStyle w:val="TableauGrille1Clair1"/>
        <w:tblpPr w:leftFromText="141" w:rightFromText="141" w:vertAnchor="text" w:tblpX="250" w:tblpY="1"/>
        <w:tblW w:w="6516" w:type="dxa"/>
        <w:tblLook w:val="04A0" w:firstRow="1" w:lastRow="0" w:firstColumn="1" w:lastColumn="0" w:noHBand="0" w:noVBand="1"/>
      </w:tblPr>
      <w:tblGrid>
        <w:gridCol w:w="1240"/>
        <w:gridCol w:w="2157"/>
        <w:gridCol w:w="1560"/>
        <w:gridCol w:w="1559"/>
      </w:tblGrid>
      <w:tr w:rsidR="003A6FE4" w:rsidRPr="00A82394" w14:paraId="2E18F38A" w14:textId="77777777" w:rsidTr="003A6FE4">
        <w:trPr>
          <w:cnfStyle w:val="100000000000" w:firstRow="1" w:lastRow="0" w:firstColumn="0" w:lastColumn="0" w:oddVBand="0" w:evenVBand="0" w:oddHBand="0"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1240" w:type="dxa"/>
            <w:hideMark/>
          </w:tcPr>
          <w:p w14:paraId="73F500AD"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Année</w:t>
            </w:r>
          </w:p>
        </w:tc>
        <w:tc>
          <w:tcPr>
            <w:tcW w:w="2157" w:type="dxa"/>
            <w:hideMark/>
          </w:tcPr>
          <w:p w14:paraId="1927D72C"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Revenus du secteur extractif(en millions de CDF)</w:t>
            </w:r>
          </w:p>
        </w:tc>
        <w:tc>
          <w:tcPr>
            <w:tcW w:w="1560" w:type="dxa"/>
            <w:hideMark/>
          </w:tcPr>
          <w:p w14:paraId="2876833C"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Pr>
                <w:rFonts w:eastAsia="Times New Roman" w:cs="Calibri"/>
                <w:color w:val="000000"/>
                <w:lang w:eastAsia="fr-FR"/>
              </w:rPr>
              <w:t xml:space="preserve">PIB </w:t>
            </w:r>
            <w:r w:rsidRPr="00A82394">
              <w:rPr>
                <w:rFonts w:eastAsia="Times New Roman" w:cs="Calibri"/>
                <w:color w:val="000000"/>
                <w:lang w:eastAsia="fr-FR"/>
              </w:rPr>
              <w:t xml:space="preserve"> (en millions de CDF)</w:t>
            </w:r>
          </w:p>
        </w:tc>
        <w:tc>
          <w:tcPr>
            <w:tcW w:w="1559" w:type="dxa"/>
            <w:noWrap/>
            <w:hideMark/>
          </w:tcPr>
          <w:p w14:paraId="65955CE0" w14:textId="77777777" w:rsidR="003A6FE4" w:rsidRPr="00A82394" w:rsidRDefault="003A6FE4" w:rsidP="003A6FE4">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 xml:space="preserve">contribution du secteur </w:t>
            </w:r>
          </w:p>
        </w:tc>
      </w:tr>
      <w:tr w:rsidR="003A6FE4" w:rsidRPr="00A82394" w14:paraId="6DC861A1"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3B9C5"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2015</w:t>
            </w:r>
          </w:p>
        </w:tc>
        <w:tc>
          <w:tcPr>
            <w:tcW w:w="2157" w:type="dxa"/>
            <w:noWrap/>
            <w:hideMark/>
          </w:tcPr>
          <w:p w14:paraId="573A7CBA"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7 178 853</w:t>
            </w:r>
          </w:p>
        </w:tc>
        <w:tc>
          <w:tcPr>
            <w:tcW w:w="1560" w:type="dxa"/>
            <w:noWrap/>
            <w:hideMark/>
          </w:tcPr>
          <w:p w14:paraId="79CFD451"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35 111 226</w:t>
            </w:r>
          </w:p>
        </w:tc>
        <w:tc>
          <w:tcPr>
            <w:tcW w:w="1559" w:type="dxa"/>
            <w:noWrap/>
            <w:hideMark/>
          </w:tcPr>
          <w:p w14:paraId="35112515" w14:textId="46355AF0"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20,44</w:t>
            </w:r>
            <w:r w:rsidR="00D02547">
              <w:rPr>
                <w:rFonts w:eastAsia="Times New Roman" w:cs="Calibri"/>
                <w:color w:val="000000"/>
                <w:lang w:eastAsia="fr-FR"/>
              </w:rPr>
              <w:t>%</w:t>
            </w:r>
          </w:p>
        </w:tc>
      </w:tr>
      <w:tr w:rsidR="003A6FE4" w:rsidRPr="00A82394" w14:paraId="1D02345E"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5656DF" w14:textId="77777777" w:rsidR="003A6FE4" w:rsidRPr="00A82394" w:rsidRDefault="003A6FE4" w:rsidP="003A6FE4">
            <w:pPr>
              <w:jc w:val="both"/>
              <w:rPr>
                <w:rFonts w:eastAsia="Times New Roman" w:cs="Calibri"/>
                <w:color w:val="000000"/>
                <w:lang w:eastAsia="fr-FR"/>
              </w:rPr>
            </w:pPr>
            <w:r w:rsidRPr="00A82394">
              <w:rPr>
                <w:rFonts w:eastAsia="Times New Roman" w:cs="Calibri"/>
                <w:color w:val="000000"/>
                <w:lang w:eastAsia="fr-FR"/>
              </w:rPr>
              <w:t>2016</w:t>
            </w:r>
          </w:p>
        </w:tc>
        <w:tc>
          <w:tcPr>
            <w:tcW w:w="2157" w:type="dxa"/>
            <w:noWrap/>
            <w:hideMark/>
          </w:tcPr>
          <w:p w14:paraId="7A4F8CBD"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7 254 338</w:t>
            </w:r>
          </w:p>
        </w:tc>
        <w:tc>
          <w:tcPr>
            <w:tcW w:w="1560" w:type="dxa"/>
            <w:noWrap/>
            <w:hideMark/>
          </w:tcPr>
          <w:p w14:paraId="58D725CC" w14:textId="77777777"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40 735 910</w:t>
            </w:r>
          </w:p>
        </w:tc>
        <w:tc>
          <w:tcPr>
            <w:tcW w:w="1559" w:type="dxa"/>
            <w:noWrap/>
            <w:hideMark/>
          </w:tcPr>
          <w:p w14:paraId="50D1D5C1" w14:textId="07EE8D85" w:rsidR="003A6FE4" w:rsidRPr="00A82394"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A82394">
              <w:rPr>
                <w:rFonts w:eastAsia="Times New Roman" w:cs="Calibri"/>
                <w:color w:val="000000"/>
                <w:lang w:eastAsia="fr-FR"/>
              </w:rPr>
              <w:t>17,8</w:t>
            </w:r>
            <w:r w:rsidR="00D02547">
              <w:rPr>
                <w:rFonts w:eastAsia="Times New Roman" w:cs="Calibri"/>
                <w:color w:val="000000"/>
                <w:lang w:eastAsia="fr-FR"/>
              </w:rPr>
              <w:t>%</w:t>
            </w:r>
          </w:p>
        </w:tc>
      </w:tr>
    </w:tbl>
    <w:p w14:paraId="6CA13876" w14:textId="77777777" w:rsidR="00E54F1D" w:rsidRPr="000C200F" w:rsidRDefault="00E54F1D" w:rsidP="00E54F1D">
      <w:pPr>
        <w:ind w:left="426"/>
        <w:jc w:val="both"/>
        <w:rPr>
          <w:rFonts w:ascii="Times New Roman" w:hAnsi="Times New Roman"/>
          <w:sz w:val="28"/>
        </w:rPr>
      </w:pPr>
    </w:p>
    <w:p w14:paraId="7FFFFAA1" w14:textId="77777777" w:rsidR="00E54F1D" w:rsidRPr="000C200F" w:rsidRDefault="00E54F1D" w:rsidP="00E54F1D">
      <w:pPr>
        <w:ind w:left="-426"/>
        <w:jc w:val="both"/>
        <w:rPr>
          <w:rFonts w:ascii="Times New Roman" w:hAnsi="Times New Roman"/>
          <w:sz w:val="28"/>
        </w:rPr>
      </w:pPr>
    </w:p>
    <w:p w14:paraId="789FB929" w14:textId="77777777" w:rsidR="003A6FE4" w:rsidRDefault="003A6FE4" w:rsidP="00E54F1D">
      <w:pPr>
        <w:jc w:val="both"/>
        <w:rPr>
          <w:rFonts w:ascii="Times New Roman" w:hAnsi="Times New Roman"/>
          <w:sz w:val="16"/>
          <w:szCs w:val="16"/>
        </w:rPr>
      </w:pPr>
    </w:p>
    <w:p w14:paraId="228F50E2" w14:textId="77777777" w:rsidR="003A6FE4" w:rsidRDefault="003A6FE4" w:rsidP="00E54F1D">
      <w:pPr>
        <w:jc w:val="both"/>
        <w:rPr>
          <w:rFonts w:ascii="Times New Roman" w:hAnsi="Times New Roman"/>
          <w:sz w:val="16"/>
          <w:szCs w:val="16"/>
        </w:rPr>
      </w:pPr>
    </w:p>
    <w:p w14:paraId="1A3EE4C2"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(1) Rapport Banque Centrale du Congo 2016</w:t>
      </w:r>
    </w:p>
    <w:p w14:paraId="3BD59D84" w14:textId="77777777" w:rsidR="003A6FE4" w:rsidRDefault="003A6FE4" w:rsidP="00E54F1D">
      <w:pPr>
        <w:jc w:val="both"/>
        <w:rPr>
          <w:rFonts w:ascii="Times New Roman" w:hAnsi="Times New Roman"/>
          <w:sz w:val="24"/>
          <w:szCs w:val="24"/>
        </w:rPr>
      </w:pPr>
    </w:p>
    <w:p w14:paraId="63B9653B" w14:textId="77777777" w:rsidR="00E54F1D" w:rsidRPr="00AB5853" w:rsidRDefault="00E54F1D" w:rsidP="00E54F1D">
      <w:pPr>
        <w:jc w:val="both"/>
        <w:rPr>
          <w:rFonts w:ascii="Times New Roman" w:hAnsi="Times New Roman"/>
          <w:sz w:val="24"/>
          <w:szCs w:val="24"/>
        </w:rPr>
      </w:pPr>
      <w:r w:rsidRPr="00AB5853">
        <w:rPr>
          <w:rFonts w:ascii="Times New Roman" w:hAnsi="Times New Roman"/>
          <w:sz w:val="24"/>
          <w:szCs w:val="24"/>
        </w:rPr>
        <w:t xml:space="preserve">La contribution sectorielle des industries extractives est présentée ci-après : </w:t>
      </w:r>
    </w:p>
    <w:p w14:paraId="5A6D7DC5" w14:textId="77777777" w:rsidR="00E54F1D" w:rsidRDefault="00E54F1D" w:rsidP="00E54F1D">
      <w:pPr>
        <w:jc w:val="both"/>
        <w:rPr>
          <w:rFonts w:ascii="Times New Roman" w:hAnsi="Times New Roman"/>
          <w:sz w:val="28"/>
        </w:rPr>
      </w:pPr>
      <w:r w:rsidRPr="000C200F">
        <w:rPr>
          <w:rFonts w:ascii="Times New Roman" w:hAnsi="Times New Roman"/>
          <w:noProof/>
          <w:lang w:eastAsia="fr-FR"/>
        </w:rPr>
        <w:drawing>
          <wp:inline distT="0" distB="0" distL="0" distR="0" wp14:anchorId="6A7D1415" wp14:editId="5B786123">
            <wp:extent cx="5318760" cy="2651760"/>
            <wp:effectExtent l="0" t="0" r="15240" b="1524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57ED9A4" w14:textId="2CF1A1D1"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 </w:t>
      </w:r>
      <w:r w:rsidR="00B50BF9" w:rsidRPr="005D5874">
        <w:rPr>
          <w:rFonts w:ascii="Times New Roman" w:hAnsi="Times New Roman"/>
          <w:sz w:val="16"/>
          <w:szCs w:val="16"/>
        </w:rPr>
        <w:t>: Rapport</w:t>
      </w:r>
      <w:r w:rsidRPr="005D5874">
        <w:rPr>
          <w:rFonts w:ascii="Times New Roman" w:hAnsi="Times New Roman"/>
          <w:sz w:val="16"/>
          <w:szCs w:val="16"/>
        </w:rPr>
        <w:t xml:space="preserve"> Banque Centrale du Congo 2016</w:t>
      </w:r>
    </w:p>
    <w:p w14:paraId="5E7031B5" w14:textId="788BFEA2" w:rsidR="003A6FE4" w:rsidRDefault="003A6FE4">
      <w:pPr>
        <w:rPr>
          <w:rFonts w:ascii="Times New Roman" w:hAnsi="Times New Roman"/>
          <w:sz w:val="28"/>
        </w:rPr>
      </w:pPr>
      <w:r>
        <w:rPr>
          <w:rFonts w:ascii="Times New Roman" w:hAnsi="Times New Roman"/>
          <w:sz w:val="28"/>
        </w:rPr>
        <w:br w:type="page"/>
      </w:r>
    </w:p>
    <w:p w14:paraId="112FD163" w14:textId="2048A6BE" w:rsidR="00E54F1D" w:rsidRPr="00F000B0" w:rsidRDefault="000668F9" w:rsidP="00F000B0">
      <w:pPr>
        <w:pStyle w:val="Titre2"/>
        <w:rPr>
          <w:rFonts w:ascii="Times New Roman" w:hAnsi="Times New Roman" w:cs="Times New Roman"/>
          <w:sz w:val="24"/>
          <w:szCs w:val="24"/>
        </w:rPr>
      </w:pPr>
      <w:bookmarkStart w:id="171" w:name="_Toc516764338"/>
      <w:bookmarkStart w:id="172" w:name="_Toc518468096"/>
      <w:r>
        <w:rPr>
          <w:rFonts w:ascii="Times New Roman" w:hAnsi="Times New Roman" w:cs="Times New Roman"/>
          <w:sz w:val="24"/>
          <w:szCs w:val="24"/>
        </w:rPr>
        <w:lastRenderedPageBreak/>
        <w:t>VIII.3</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au budget de l’Etat</w:t>
      </w:r>
      <w:bookmarkEnd w:id="171"/>
      <w:bookmarkEnd w:id="172"/>
    </w:p>
    <w:p w14:paraId="72807444" w14:textId="77777777" w:rsidR="00E54F1D" w:rsidRDefault="00E54F1D" w:rsidP="00E54F1D">
      <w:pPr>
        <w:jc w:val="both"/>
        <w:rPr>
          <w:rFonts w:ascii="Times New Roman" w:hAnsi="Times New Roman"/>
          <w:sz w:val="24"/>
          <w:szCs w:val="24"/>
        </w:rPr>
      </w:pPr>
      <w:r w:rsidRPr="00AB5853">
        <w:rPr>
          <w:rFonts w:ascii="Times New Roman" w:hAnsi="Times New Roman"/>
          <w:sz w:val="24"/>
          <w:szCs w:val="24"/>
        </w:rPr>
        <w:t>La part des recettes du secteur extractif dans l’ensemble des dépenses gouvernementales se présente comme suit :</w:t>
      </w:r>
    </w:p>
    <w:p w14:paraId="75104032" w14:textId="77777777" w:rsidR="003A6FE4" w:rsidRDefault="003A6FE4" w:rsidP="00E54F1D">
      <w:pPr>
        <w:jc w:val="both"/>
        <w:rPr>
          <w:rFonts w:ascii="Times New Roman" w:hAnsi="Times New Roman"/>
          <w:sz w:val="24"/>
          <w:szCs w:val="24"/>
        </w:rPr>
      </w:pPr>
    </w:p>
    <w:tbl>
      <w:tblPr>
        <w:tblStyle w:val="TableauGrille1Clair1"/>
        <w:tblW w:w="6379" w:type="dxa"/>
        <w:tblInd w:w="250" w:type="dxa"/>
        <w:tblLook w:val="04A0" w:firstRow="1" w:lastRow="0" w:firstColumn="1" w:lastColumn="0" w:noHBand="0" w:noVBand="1"/>
      </w:tblPr>
      <w:tblGrid>
        <w:gridCol w:w="884"/>
        <w:gridCol w:w="2235"/>
        <w:gridCol w:w="2126"/>
        <w:gridCol w:w="1134"/>
      </w:tblGrid>
      <w:tr w:rsidR="003A6FE4" w:rsidRPr="00BA5DF7" w14:paraId="7B060E4E" w14:textId="77777777" w:rsidTr="003A6FE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dxa"/>
            <w:noWrap/>
            <w:hideMark/>
          </w:tcPr>
          <w:p w14:paraId="26AF950D" w14:textId="77777777" w:rsidR="003A6FE4" w:rsidRPr="00BA5DF7" w:rsidRDefault="003A6FE4" w:rsidP="000B411F">
            <w:pPr>
              <w:jc w:val="both"/>
              <w:rPr>
                <w:rFonts w:eastAsia="Times New Roman" w:cs="Calibri"/>
                <w:color w:val="000000"/>
                <w:lang w:eastAsia="fr-FR"/>
              </w:rPr>
            </w:pPr>
            <w:r w:rsidRPr="00BA5DF7">
              <w:rPr>
                <w:rFonts w:eastAsia="Times New Roman" w:cs="Calibri"/>
                <w:color w:val="000000"/>
                <w:lang w:eastAsia="fr-FR"/>
              </w:rPr>
              <w:t>Année</w:t>
            </w:r>
          </w:p>
        </w:tc>
        <w:tc>
          <w:tcPr>
            <w:tcW w:w="2235" w:type="dxa"/>
            <w:noWrap/>
            <w:hideMark/>
          </w:tcPr>
          <w:p w14:paraId="38F5CF97" w14:textId="3463A966" w:rsidR="003A6FE4" w:rsidRPr="00BA5DF7" w:rsidRDefault="005E1F15"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Pr>
                <w:rFonts w:eastAsia="Times New Roman" w:cs="Calibri"/>
                <w:color w:val="000000"/>
                <w:lang w:eastAsia="fr-FR"/>
              </w:rPr>
              <w:t>Recettes du Trésor déclarées à l’ITIE</w:t>
            </w:r>
          </w:p>
        </w:tc>
        <w:tc>
          <w:tcPr>
            <w:tcW w:w="2126" w:type="dxa"/>
            <w:noWrap/>
            <w:hideMark/>
          </w:tcPr>
          <w:p w14:paraId="4929B2B7" w14:textId="77777777" w:rsidR="003A6FE4" w:rsidRPr="00BA5DF7" w:rsidRDefault="003A6FE4"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Dépenses exécutées</w:t>
            </w:r>
          </w:p>
        </w:tc>
        <w:tc>
          <w:tcPr>
            <w:tcW w:w="1134" w:type="dxa"/>
            <w:noWrap/>
            <w:hideMark/>
          </w:tcPr>
          <w:p w14:paraId="5FB9EEAB" w14:textId="77777777" w:rsidR="003A6FE4" w:rsidRPr="00BA5DF7" w:rsidRDefault="003A6FE4" w:rsidP="000B411F">
            <w:pPr>
              <w:jc w:val="both"/>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w:t>
            </w:r>
          </w:p>
        </w:tc>
      </w:tr>
      <w:tr w:rsidR="003A6FE4" w:rsidRPr="00BA5DF7" w14:paraId="3A5BED0F" w14:textId="77777777" w:rsidTr="003A6FE4">
        <w:trPr>
          <w:trHeight w:val="288"/>
        </w:trPr>
        <w:tc>
          <w:tcPr>
            <w:cnfStyle w:val="001000000000" w:firstRow="0" w:lastRow="0" w:firstColumn="1" w:lastColumn="0" w:oddVBand="0" w:evenVBand="0" w:oddHBand="0" w:evenHBand="0" w:firstRowFirstColumn="0" w:firstRowLastColumn="0" w:lastRowFirstColumn="0" w:lastRowLastColumn="0"/>
            <w:tcW w:w="884" w:type="dxa"/>
            <w:noWrap/>
            <w:hideMark/>
          </w:tcPr>
          <w:p w14:paraId="325FADAA" w14:textId="77777777" w:rsidR="003A6FE4" w:rsidRPr="00BA5DF7" w:rsidRDefault="003A6FE4" w:rsidP="003A6FE4">
            <w:pPr>
              <w:jc w:val="right"/>
              <w:rPr>
                <w:rFonts w:eastAsia="Times New Roman" w:cs="Calibri"/>
                <w:color w:val="000000"/>
                <w:lang w:eastAsia="fr-FR"/>
              </w:rPr>
            </w:pPr>
            <w:r w:rsidRPr="00BA5DF7">
              <w:rPr>
                <w:rFonts w:eastAsia="Times New Roman" w:cs="Calibri"/>
                <w:color w:val="000000"/>
                <w:lang w:eastAsia="fr-FR"/>
              </w:rPr>
              <w:t>2016</w:t>
            </w:r>
          </w:p>
        </w:tc>
        <w:tc>
          <w:tcPr>
            <w:tcW w:w="2235" w:type="dxa"/>
            <w:noWrap/>
            <w:hideMark/>
          </w:tcPr>
          <w:p w14:paraId="1B9618D1"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 </w:t>
            </w:r>
            <w:r>
              <w:rPr>
                <w:rFonts w:eastAsia="Times New Roman" w:cs="Calibri"/>
                <w:color w:val="000000"/>
                <w:lang w:eastAsia="fr-FR"/>
              </w:rPr>
              <w:t>738 807 830</w:t>
            </w:r>
          </w:p>
        </w:tc>
        <w:tc>
          <w:tcPr>
            <w:tcW w:w="2126" w:type="dxa"/>
            <w:noWrap/>
            <w:hideMark/>
          </w:tcPr>
          <w:p w14:paraId="6842DD65"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4</w:t>
            </w:r>
            <w:r>
              <w:rPr>
                <w:rFonts w:eastAsia="Times New Roman" w:cs="Calibri"/>
                <w:color w:val="000000"/>
                <w:lang w:eastAsia="fr-FR"/>
              </w:rPr>
              <w:t xml:space="preserve"> </w:t>
            </w:r>
            <w:r w:rsidRPr="00BA5DF7">
              <w:rPr>
                <w:rFonts w:eastAsia="Times New Roman" w:cs="Calibri"/>
                <w:color w:val="000000"/>
                <w:lang w:eastAsia="fr-FR"/>
              </w:rPr>
              <w:t>045</w:t>
            </w:r>
            <w:r>
              <w:rPr>
                <w:rFonts w:eastAsia="Times New Roman" w:cs="Calibri"/>
                <w:color w:val="000000"/>
                <w:lang w:eastAsia="fr-FR"/>
              </w:rPr>
              <w:t xml:space="preserve"> </w:t>
            </w:r>
            <w:r w:rsidRPr="00BA5DF7">
              <w:rPr>
                <w:rFonts w:eastAsia="Times New Roman" w:cs="Calibri"/>
                <w:color w:val="000000"/>
                <w:lang w:eastAsia="fr-FR"/>
              </w:rPr>
              <w:t>985</w:t>
            </w:r>
            <w:r>
              <w:rPr>
                <w:rFonts w:eastAsia="Times New Roman" w:cs="Calibri"/>
                <w:color w:val="000000"/>
                <w:lang w:eastAsia="fr-FR"/>
              </w:rPr>
              <w:t xml:space="preserve"> </w:t>
            </w:r>
            <w:r w:rsidRPr="00BA5DF7">
              <w:rPr>
                <w:rFonts w:eastAsia="Times New Roman" w:cs="Calibri"/>
                <w:color w:val="000000"/>
                <w:lang w:eastAsia="fr-FR"/>
              </w:rPr>
              <w:t>351</w:t>
            </w:r>
          </w:p>
        </w:tc>
        <w:tc>
          <w:tcPr>
            <w:tcW w:w="1134" w:type="dxa"/>
            <w:noWrap/>
            <w:hideMark/>
          </w:tcPr>
          <w:p w14:paraId="683452DE" w14:textId="77777777" w:rsidR="003A6FE4" w:rsidRPr="00BA5DF7" w:rsidRDefault="003A6FE4" w:rsidP="003A6FE4">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FR"/>
              </w:rPr>
            </w:pPr>
            <w:r w:rsidRPr="00BA5DF7">
              <w:rPr>
                <w:rFonts w:eastAsia="Times New Roman" w:cs="Calibri"/>
                <w:color w:val="000000"/>
                <w:lang w:eastAsia="fr-FR"/>
              </w:rPr>
              <w:t> </w:t>
            </w:r>
            <w:r>
              <w:rPr>
                <w:rFonts w:eastAsia="Times New Roman" w:cs="Calibri"/>
                <w:color w:val="000000"/>
                <w:lang w:eastAsia="fr-FR"/>
              </w:rPr>
              <w:t>18.26</w:t>
            </w:r>
          </w:p>
        </w:tc>
      </w:tr>
    </w:tbl>
    <w:p w14:paraId="7AB89DCB"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Sources : Déclarations ITIE 2016 et Rapport BCC 2016</w:t>
      </w:r>
    </w:p>
    <w:p w14:paraId="178A7C25" w14:textId="77777777" w:rsidR="00E54F1D" w:rsidRDefault="00E54F1D" w:rsidP="00E54F1D">
      <w:pPr>
        <w:rPr>
          <w:rFonts w:ascii="Times New Roman" w:hAnsi="Times New Roman"/>
          <w:sz w:val="28"/>
        </w:rPr>
      </w:pPr>
    </w:p>
    <w:p w14:paraId="36C9539C" w14:textId="6BE1D5E9" w:rsidR="00E54F1D" w:rsidRPr="00F000B0" w:rsidRDefault="000668F9" w:rsidP="00F000B0">
      <w:pPr>
        <w:pStyle w:val="Titre2"/>
        <w:rPr>
          <w:rFonts w:ascii="Times New Roman" w:hAnsi="Times New Roman" w:cs="Times New Roman"/>
          <w:sz w:val="24"/>
          <w:szCs w:val="24"/>
        </w:rPr>
      </w:pPr>
      <w:bookmarkStart w:id="173" w:name="_Toc516764339"/>
      <w:bookmarkStart w:id="174" w:name="_Toc518468097"/>
      <w:r>
        <w:rPr>
          <w:rFonts w:ascii="Times New Roman" w:hAnsi="Times New Roman" w:cs="Times New Roman"/>
          <w:sz w:val="24"/>
          <w:szCs w:val="24"/>
        </w:rPr>
        <w:t>VIII.4</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du secteur extractif aux exportations</w:t>
      </w:r>
      <w:bookmarkEnd w:id="173"/>
      <w:bookmarkEnd w:id="174"/>
    </w:p>
    <w:p w14:paraId="64995C0A" w14:textId="77777777" w:rsidR="00E54F1D" w:rsidRPr="003A6FE4" w:rsidRDefault="00E54F1D" w:rsidP="00E54F1D">
      <w:pPr>
        <w:jc w:val="both"/>
        <w:rPr>
          <w:rFonts w:ascii="Times New Roman" w:hAnsi="Times New Roman"/>
          <w:sz w:val="24"/>
          <w:szCs w:val="24"/>
        </w:rPr>
      </w:pPr>
      <w:r w:rsidRPr="003A6FE4">
        <w:rPr>
          <w:rFonts w:ascii="Times New Roman" w:hAnsi="Times New Roman"/>
          <w:sz w:val="24"/>
          <w:szCs w:val="24"/>
        </w:rPr>
        <w:t>Les exportations du secteur extractif dans l’ensemble des exportations sont résumées dans le tableau suivant :</w:t>
      </w:r>
    </w:p>
    <w:p w14:paraId="6A6CD9B3" w14:textId="77777777" w:rsidR="00E54F1D" w:rsidRDefault="00E54F1D" w:rsidP="00E54F1D">
      <w:pPr>
        <w:jc w:val="both"/>
        <w:rPr>
          <w:rFonts w:ascii="Times New Roman" w:hAnsi="Times New Roman"/>
          <w:sz w:val="28"/>
        </w:rPr>
      </w:pPr>
      <w:r>
        <w:rPr>
          <w:noProof/>
          <w:lang w:eastAsia="fr-FR"/>
        </w:rPr>
        <w:drawing>
          <wp:inline distT="0" distB="0" distL="0" distR="0" wp14:anchorId="5E7519B8" wp14:editId="4D6899CF">
            <wp:extent cx="5760720" cy="4193540"/>
            <wp:effectExtent l="0" t="0" r="11430" b="1651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CE8A1B5" w14:textId="77777777" w:rsidR="00E54F1D" w:rsidRDefault="00E54F1D" w:rsidP="00E54F1D">
      <w:pPr>
        <w:jc w:val="both"/>
        <w:rPr>
          <w:rFonts w:ascii="Times New Roman" w:hAnsi="Times New Roman"/>
          <w:sz w:val="28"/>
        </w:rPr>
      </w:pPr>
      <w:r>
        <w:rPr>
          <w:noProof/>
          <w:lang w:eastAsia="fr-FR"/>
        </w:rPr>
        <w:lastRenderedPageBreak/>
        <w:drawing>
          <wp:inline distT="0" distB="0" distL="0" distR="0" wp14:anchorId="6A305D3D" wp14:editId="67F9CBE7">
            <wp:extent cx="5882640" cy="3489960"/>
            <wp:effectExtent l="0" t="0" r="3810" b="1524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3909C5C" w14:textId="77777777" w:rsidR="00E54F1D" w:rsidRPr="005D5874" w:rsidRDefault="00E54F1D" w:rsidP="00E54F1D">
      <w:pPr>
        <w:jc w:val="both"/>
        <w:rPr>
          <w:rFonts w:ascii="Times New Roman" w:hAnsi="Times New Roman"/>
          <w:sz w:val="16"/>
          <w:szCs w:val="16"/>
        </w:rPr>
      </w:pPr>
      <w:r w:rsidRPr="005D5874">
        <w:rPr>
          <w:rFonts w:ascii="Times New Roman" w:hAnsi="Times New Roman"/>
          <w:sz w:val="16"/>
          <w:szCs w:val="16"/>
        </w:rPr>
        <w:t>Source: Rapport BCC 2016</w:t>
      </w:r>
    </w:p>
    <w:p w14:paraId="00729CA8" w14:textId="77777777" w:rsidR="00E54F1D" w:rsidRDefault="00E54F1D" w:rsidP="00E54F1D">
      <w:pPr>
        <w:jc w:val="both"/>
        <w:rPr>
          <w:rFonts w:ascii="Times New Roman" w:hAnsi="Times New Roman"/>
          <w:sz w:val="28"/>
        </w:rPr>
      </w:pPr>
    </w:p>
    <w:p w14:paraId="47F09AF8" w14:textId="7173EA98" w:rsidR="00E54F1D" w:rsidRPr="00F000B0" w:rsidRDefault="000668F9" w:rsidP="00F000B0">
      <w:pPr>
        <w:pStyle w:val="Titre2"/>
        <w:rPr>
          <w:rFonts w:ascii="Times New Roman" w:hAnsi="Times New Roman" w:cs="Times New Roman"/>
          <w:sz w:val="24"/>
          <w:szCs w:val="24"/>
        </w:rPr>
      </w:pPr>
      <w:bookmarkStart w:id="175" w:name="_Toc516764340"/>
      <w:bookmarkStart w:id="176" w:name="_Toc518468098"/>
      <w:r>
        <w:rPr>
          <w:rFonts w:ascii="Times New Roman" w:hAnsi="Times New Roman" w:cs="Times New Roman"/>
          <w:sz w:val="24"/>
          <w:szCs w:val="24"/>
        </w:rPr>
        <w:t>VIII.5</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aux emplois</w:t>
      </w:r>
      <w:bookmarkEnd w:id="175"/>
      <w:bookmarkEnd w:id="176"/>
    </w:p>
    <w:p w14:paraId="7475EFF0" w14:textId="77777777" w:rsidR="00E54F1D" w:rsidRPr="000C200F" w:rsidRDefault="00E54F1D" w:rsidP="00E54F1D">
      <w:pPr>
        <w:jc w:val="both"/>
        <w:rPr>
          <w:rFonts w:ascii="Times New Roman" w:hAnsi="Times New Roman"/>
          <w:sz w:val="28"/>
        </w:rPr>
      </w:pPr>
      <w:r w:rsidRPr="00AA5920">
        <w:rPr>
          <w:rFonts w:ascii="Times New Roman" w:hAnsi="Times New Roman"/>
          <w:sz w:val="24"/>
          <w:szCs w:val="24"/>
        </w:rPr>
        <w:t>Selon les données reçues de l’Office Nationale de l’Emploi (ONEM), la part des emplois du secteur extractif dans l’ensemble des emplois est de 11,07%. Elle se détaille de la manière suivante</w:t>
      </w:r>
      <w:r w:rsidRPr="000C200F">
        <w:rPr>
          <w:rFonts w:ascii="Times New Roman" w:hAnsi="Times New Roman"/>
          <w:sz w:val="28"/>
        </w:rPr>
        <w:t> :</w:t>
      </w:r>
    </w:p>
    <w:tbl>
      <w:tblPr>
        <w:tblStyle w:val="TableauGrille1Clair1"/>
        <w:tblW w:w="10268" w:type="dxa"/>
        <w:tblLook w:val="04A0" w:firstRow="1" w:lastRow="0" w:firstColumn="1" w:lastColumn="0" w:noHBand="0" w:noVBand="1"/>
      </w:tblPr>
      <w:tblGrid>
        <w:gridCol w:w="1384"/>
        <w:gridCol w:w="972"/>
        <w:gridCol w:w="927"/>
        <w:gridCol w:w="986"/>
        <w:gridCol w:w="972"/>
        <w:gridCol w:w="927"/>
        <w:gridCol w:w="839"/>
        <w:gridCol w:w="1489"/>
        <w:gridCol w:w="1772"/>
      </w:tblGrid>
      <w:tr w:rsidR="00E54F1D" w:rsidRPr="00BB773D" w14:paraId="74E4547C" w14:textId="77777777" w:rsidTr="006E53CE">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384" w:type="dxa"/>
            <w:vMerge w:val="restart"/>
            <w:noWrap/>
            <w:vAlign w:val="center"/>
            <w:hideMark/>
          </w:tcPr>
          <w:p w14:paraId="6B82B94E" w14:textId="77777777" w:rsidR="00E54F1D" w:rsidRPr="00BB773D" w:rsidRDefault="00E54F1D" w:rsidP="006E53CE">
            <w:pPr>
              <w:jc w:val="center"/>
              <w:rPr>
                <w:rFonts w:ascii="Times New Roman" w:eastAsia="Times New Roman" w:hAnsi="Times New Roman"/>
                <w:b w:val="0"/>
                <w:bCs w:val="0"/>
                <w:lang w:eastAsia="fr-FR"/>
              </w:rPr>
            </w:pPr>
            <w:r w:rsidRPr="00BB773D">
              <w:rPr>
                <w:rFonts w:ascii="Times New Roman" w:eastAsia="Times New Roman" w:hAnsi="Times New Roman"/>
                <w:lang w:eastAsia="fr-FR"/>
              </w:rPr>
              <w:t>SECTEUR</w:t>
            </w:r>
          </w:p>
        </w:tc>
        <w:tc>
          <w:tcPr>
            <w:tcW w:w="2885" w:type="dxa"/>
            <w:gridSpan w:val="3"/>
            <w:noWrap/>
            <w:vAlign w:val="center"/>
            <w:hideMark/>
          </w:tcPr>
          <w:p w14:paraId="110BCD90"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BB773D">
              <w:rPr>
                <w:rFonts w:ascii="Times New Roman" w:eastAsia="Times New Roman" w:hAnsi="Times New Roman"/>
                <w:lang w:eastAsia="fr-FR"/>
              </w:rPr>
              <w:t>Nationaux</w:t>
            </w:r>
          </w:p>
        </w:tc>
        <w:tc>
          <w:tcPr>
            <w:tcW w:w="0" w:type="auto"/>
            <w:gridSpan w:val="3"/>
            <w:noWrap/>
            <w:vAlign w:val="center"/>
            <w:hideMark/>
          </w:tcPr>
          <w:p w14:paraId="0CD9DA44"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BB773D">
              <w:rPr>
                <w:rFonts w:ascii="Times New Roman" w:eastAsia="Times New Roman" w:hAnsi="Times New Roman"/>
                <w:lang w:eastAsia="fr-FR"/>
              </w:rPr>
              <w:t>Expatriés</w:t>
            </w:r>
          </w:p>
        </w:tc>
        <w:tc>
          <w:tcPr>
            <w:tcW w:w="1489" w:type="dxa"/>
            <w:vMerge w:val="restart"/>
            <w:noWrap/>
            <w:vAlign w:val="center"/>
            <w:hideMark/>
          </w:tcPr>
          <w:p w14:paraId="1C972B16" w14:textId="77777777" w:rsidR="00E54F1D" w:rsidRPr="00BB773D"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BB773D">
              <w:rPr>
                <w:rFonts w:ascii="Times New Roman" w:eastAsia="Times New Roman" w:hAnsi="Times New Roman"/>
                <w:lang w:eastAsia="fr-FR"/>
              </w:rPr>
              <w:t>TOTAL</w:t>
            </w:r>
          </w:p>
        </w:tc>
        <w:tc>
          <w:tcPr>
            <w:tcW w:w="1772" w:type="dxa"/>
            <w:vMerge w:val="restart"/>
            <w:noWrap/>
            <w:vAlign w:val="center"/>
            <w:hideMark/>
          </w:tcPr>
          <w:p w14:paraId="6E5CB04C" w14:textId="77777777" w:rsidR="00E54F1D" w:rsidRPr="00D039C4"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r w:rsidRPr="00D039C4">
              <w:rPr>
                <w:rFonts w:ascii="Times New Roman" w:eastAsia="Times New Roman" w:hAnsi="Times New Roman"/>
                <w:sz w:val="20"/>
                <w:szCs w:val="20"/>
                <w:lang w:eastAsia="fr-FR"/>
              </w:rPr>
              <w:t>POURCENTAGE</w:t>
            </w:r>
          </w:p>
        </w:tc>
      </w:tr>
      <w:tr w:rsidR="00E54F1D" w:rsidRPr="000C200F" w14:paraId="59030C0D" w14:textId="77777777" w:rsidTr="006E53CE">
        <w:trPr>
          <w:trHeight w:val="400"/>
        </w:trPr>
        <w:tc>
          <w:tcPr>
            <w:cnfStyle w:val="001000000000" w:firstRow="0" w:lastRow="0" w:firstColumn="1" w:lastColumn="0" w:oddVBand="0" w:evenVBand="0" w:oddHBand="0" w:evenHBand="0" w:firstRowFirstColumn="0" w:firstRowLastColumn="0" w:lastRowFirstColumn="0" w:lastRowLastColumn="0"/>
            <w:tcW w:w="1384" w:type="dxa"/>
            <w:vMerge/>
            <w:vAlign w:val="center"/>
            <w:hideMark/>
          </w:tcPr>
          <w:p w14:paraId="768A0311" w14:textId="77777777" w:rsidR="00E54F1D" w:rsidRPr="000C200F" w:rsidRDefault="00E54F1D" w:rsidP="006E53CE">
            <w:pPr>
              <w:jc w:val="center"/>
              <w:rPr>
                <w:rFonts w:ascii="Times New Roman" w:eastAsia="Times New Roman" w:hAnsi="Times New Roman"/>
                <w:b w:val="0"/>
                <w:bCs w:val="0"/>
                <w:color w:val="000000"/>
                <w:lang w:eastAsia="fr-FR"/>
              </w:rPr>
            </w:pPr>
          </w:p>
        </w:tc>
        <w:tc>
          <w:tcPr>
            <w:tcW w:w="972" w:type="dxa"/>
            <w:noWrap/>
            <w:vAlign w:val="center"/>
            <w:hideMark/>
          </w:tcPr>
          <w:p w14:paraId="27A4A447"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Hommes</w:t>
            </w:r>
          </w:p>
        </w:tc>
        <w:tc>
          <w:tcPr>
            <w:tcW w:w="0" w:type="auto"/>
            <w:noWrap/>
            <w:vAlign w:val="center"/>
            <w:hideMark/>
          </w:tcPr>
          <w:p w14:paraId="723F106E"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Femmes</w:t>
            </w:r>
          </w:p>
        </w:tc>
        <w:tc>
          <w:tcPr>
            <w:tcW w:w="986" w:type="dxa"/>
            <w:noWrap/>
            <w:vAlign w:val="center"/>
            <w:hideMark/>
          </w:tcPr>
          <w:p w14:paraId="78664797"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S/Total</w:t>
            </w:r>
          </w:p>
        </w:tc>
        <w:tc>
          <w:tcPr>
            <w:tcW w:w="0" w:type="auto"/>
            <w:noWrap/>
            <w:vAlign w:val="center"/>
            <w:hideMark/>
          </w:tcPr>
          <w:p w14:paraId="06D560F9"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Hommes</w:t>
            </w:r>
          </w:p>
        </w:tc>
        <w:tc>
          <w:tcPr>
            <w:tcW w:w="0" w:type="auto"/>
            <w:noWrap/>
            <w:vAlign w:val="center"/>
            <w:hideMark/>
          </w:tcPr>
          <w:p w14:paraId="42F5E056"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Femmes</w:t>
            </w:r>
          </w:p>
        </w:tc>
        <w:tc>
          <w:tcPr>
            <w:tcW w:w="0" w:type="auto"/>
            <w:noWrap/>
            <w:vAlign w:val="center"/>
            <w:hideMark/>
          </w:tcPr>
          <w:p w14:paraId="6DAC1FB4"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fr-FR"/>
              </w:rPr>
            </w:pPr>
            <w:r w:rsidRPr="000C200F">
              <w:rPr>
                <w:rFonts w:ascii="Times New Roman" w:eastAsia="Times New Roman" w:hAnsi="Times New Roman"/>
                <w:b/>
                <w:bCs/>
                <w:color w:val="000000"/>
                <w:sz w:val="20"/>
                <w:szCs w:val="20"/>
                <w:lang w:val="en-US" w:eastAsia="fr-FR"/>
              </w:rPr>
              <w:t>S/Total</w:t>
            </w:r>
          </w:p>
        </w:tc>
        <w:tc>
          <w:tcPr>
            <w:tcW w:w="1489" w:type="dxa"/>
            <w:vMerge/>
            <w:vAlign w:val="center"/>
            <w:hideMark/>
          </w:tcPr>
          <w:p w14:paraId="7F491BC5"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c>
          <w:tcPr>
            <w:tcW w:w="1772" w:type="dxa"/>
            <w:vMerge/>
            <w:vAlign w:val="center"/>
            <w:hideMark/>
          </w:tcPr>
          <w:p w14:paraId="32BB5D9D"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r>
      <w:tr w:rsidR="00E54F1D" w:rsidRPr="000C200F" w14:paraId="39E1D18B" w14:textId="77777777" w:rsidTr="006E53CE">
        <w:trPr>
          <w:trHeight w:val="766"/>
        </w:trPr>
        <w:tc>
          <w:tcPr>
            <w:cnfStyle w:val="001000000000" w:firstRow="0" w:lastRow="0" w:firstColumn="1" w:lastColumn="0" w:oddVBand="0" w:evenVBand="0" w:oddHBand="0" w:evenHBand="0" w:firstRowFirstColumn="0" w:firstRowLastColumn="0" w:lastRowFirstColumn="0" w:lastRowLastColumn="0"/>
            <w:tcW w:w="1384" w:type="dxa"/>
            <w:noWrap/>
            <w:hideMark/>
          </w:tcPr>
          <w:p w14:paraId="64F23B84" w14:textId="77777777" w:rsidR="00E54F1D" w:rsidRPr="000C200F" w:rsidRDefault="00E54F1D" w:rsidP="00F000B0">
            <w:pPr>
              <w:jc w:val="both"/>
              <w:rPr>
                <w:rFonts w:ascii="Times New Roman" w:eastAsia="Times New Roman" w:hAnsi="Times New Roman"/>
                <w:b w:val="0"/>
                <w:bCs w:val="0"/>
                <w:sz w:val="20"/>
                <w:szCs w:val="20"/>
                <w:lang w:eastAsia="fr-FR"/>
              </w:rPr>
            </w:pPr>
            <w:r w:rsidRPr="000C200F">
              <w:rPr>
                <w:rFonts w:ascii="Times New Roman" w:eastAsia="Times New Roman" w:hAnsi="Times New Roman"/>
                <w:sz w:val="20"/>
                <w:szCs w:val="20"/>
                <w:lang w:val="en-US" w:eastAsia="fr-FR"/>
              </w:rPr>
              <w:t>Industries extractives</w:t>
            </w:r>
          </w:p>
        </w:tc>
        <w:tc>
          <w:tcPr>
            <w:tcW w:w="972" w:type="dxa"/>
            <w:noWrap/>
            <w:hideMark/>
          </w:tcPr>
          <w:p w14:paraId="3BE22D44"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106310</w:t>
            </w:r>
          </w:p>
        </w:tc>
        <w:tc>
          <w:tcPr>
            <w:tcW w:w="0" w:type="auto"/>
            <w:noWrap/>
            <w:hideMark/>
          </w:tcPr>
          <w:p w14:paraId="6EEF5C4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12799</w:t>
            </w:r>
          </w:p>
        </w:tc>
        <w:tc>
          <w:tcPr>
            <w:tcW w:w="986" w:type="dxa"/>
            <w:noWrap/>
            <w:hideMark/>
          </w:tcPr>
          <w:p w14:paraId="6FB3C9B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119109</w:t>
            </w:r>
          </w:p>
        </w:tc>
        <w:tc>
          <w:tcPr>
            <w:tcW w:w="0" w:type="auto"/>
            <w:noWrap/>
            <w:hideMark/>
          </w:tcPr>
          <w:p w14:paraId="5F4E34B1"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3463</w:t>
            </w:r>
          </w:p>
        </w:tc>
        <w:tc>
          <w:tcPr>
            <w:tcW w:w="0" w:type="auto"/>
            <w:noWrap/>
            <w:hideMark/>
          </w:tcPr>
          <w:p w14:paraId="56484197"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75</w:t>
            </w:r>
          </w:p>
        </w:tc>
        <w:tc>
          <w:tcPr>
            <w:tcW w:w="0" w:type="auto"/>
            <w:noWrap/>
            <w:hideMark/>
          </w:tcPr>
          <w:p w14:paraId="2D092F26"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3538</w:t>
            </w:r>
          </w:p>
        </w:tc>
        <w:tc>
          <w:tcPr>
            <w:tcW w:w="1489" w:type="dxa"/>
            <w:noWrap/>
            <w:hideMark/>
          </w:tcPr>
          <w:p w14:paraId="546290DB"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122647</w:t>
            </w:r>
          </w:p>
        </w:tc>
        <w:tc>
          <w:tcPr>
            <w:tcW w:w="1772" w:type="dxa"/>
            <w:noWrap/>
            <w:hideMark/>
          </w:tcPr>
          <w:p w14:paraId="645C0968"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0C200F">
              <w:rPr>
                <w:rFonts w:ascii="Times New Roman" w:eastAsia="Times New Roman" w:hAnsi="Times New Roman"/>
                <w:lang w:val="en-US" w:eastAsia="fr-FR"/>
              </w:rPr>
              <w:t xml:space="preserve">11,07% </w:t>
            </w:r>
          </w:p>
        </w:tc>
      </w:tr>
      <w:tr w:rsidR="00E54F1D" w:rsidRPr="000C200F" w14:paraId="4392CAB2" w14:textId="77777777" w:rsidTr="006E53CE">
        <w:trPr>
          <w:trHeight w:val="766"/>
        </w:trPr>
        <w:tc>
          <w:tcPr>
            <w:cnfStyle w:val="001000000000" w:firstRow="0" w:lastRow="0" w:firstColumn="1" w:lastColumn="0" w:oddVBand="0" w:evenVBand="0" w:oddHBand="0" w:evenHBand="0" w:firstRowFirstColumn="0" w:firstRowLastColumn="0" w:lastRowFirstColumn="0" w:lastRowLastColumn="0"/>
            <w:tcW w:w="1384" w:type="dxa"/>
            <w:noWrap/>
            <w:hideMark/>
          </w:tcPr>
          <w:p w14:paraId="27309784" w14:textId="77777777" w:rsidR="00E54F1D" w:rsidRPr="00BB773D" w:rsidRDefault="00E54F1D" w:rsidP="00F000B0">
            <w:pPr>
              <w:jc w:val="both"/>
              <w:rPr>
                <w:rFonts w:ascii="Times New Roman" w:eastAsia="Times New Roman" w:hAnsi="Times New Roman"/>
                <w:b w:val="0"/>
                <w:bCs w:val="0"/>
                <w:sz w:val="20"/>
                <w:szCs w:val="20"/>
                <w:lang w:eastAsia="fr-FR"/>
              </w:rPr>
            </w:pPr>
            <w:r>
              <w:rPr>
                <w:rFonts w:ascii="Times New Roman" w:eastAsia="Times New Roman" w:hAnsi="Times New Roman"/>
                <w:sz w:val="20"/>
                <w:szCs w:val="20"/>
                <w:lang w:val="en-US" w:eastAsia="fr-FR"/>
              </w:rPr>
              <w:t xml:space="preserve">Total </w:t>
            </w:r>
            <w:r w:rsidRPr="00BB773D">
              <w:rPr>
                <w:rFonts w:ascii="Times New Roman" w:eastAsia="Times New Roman" w:hAnsi="Times New Roman"/>
                <w:sz w:val="20"/>
                <w:szCs w:val="20"/>
                <w:lang w:val="en-US" w:eastAsia="fr-FR"/>
              </w:rPr>
              <w:t>effectif employé</w:t>
            </w:r>
          </w:p>
        </w:tc>
        <w:tc>
          <w:tcPr>
            <w:tcW w:w="972" w:type="dxa"/>
            <w:noWrap/>
            <w:hideMark/>
          </w:tcPr>
          <w:p w14:paraId="0E316A83"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913201</w:t>
            </w:r>
          </w:p>
        </w:tc>
        <w:tc>
          <w:tcPr>
            <w:tcW w:w="0" w:type="auto"/>
            <w:noWrap/>
            <w:hideMark/>
          </w:tcPr>
          <w:p w14:paraId="18CFE8FA"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186118</w:t>
            </w:r>
          </w:p>
        </w:tc>
        <w:tc>
          <w:tcPr>
            <w:tcW w:w="986" w:type="dxa"/>
            <w:noWrap/>
            <w:hideMark/>
          </w:tcPr>
          <w:p w14:paraId="7B2979EF"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1099319</w:t>
            </w:r>
          </w:p>
        </w:tc>
        <w:tc>
          <w:tcPr>
            <w:tcW w:w="0" w:type="auto"/>
            <w:noWrap/>
            <w:hideMark/>
          </w:tcPr>
          <w:p w14:paraId="0137D218"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8165</w:t>
            </w:r>
          </w:p>
        </w:tc>
        <w:tc>
          <w:tcPr>
            <w:tcW w:w="0" w:type="auto"/>
            <w:noWrap/>
            <w:hideMark/>
          </w:tcPr>
          <w:p w14:paraId="55839764"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795</w:t>
            </w:r>
          </w:p>
        </w:tc>
        <w:tc>
          <w:tcPr>
            <w:tcW w:w="0" w:type="auto"/>
            <w:noWrap/>
            <w:hideMark/>
          </w:tcPr>
          <w:p w14:paraId="3453CBC5"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8960</w:t>
            </w:r>
          </w:p>
        </w:tc>
        <w:tc>
          <w:tcPr>
            <w:tcW w:w="1489" w:type="dxa"/>
            <w:noWrap/>
            <w:hideMark/>
          </w:tcPr>
          <w:p w14:paraId="0DBD0DDA"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1108279</w:t>
            </w:r>
          </w:p>
        </w:tc>
        <w:tc>
          <w:tcPr>
            <w:tcW w:w="1772" w:type="dxa"/>
            <w:noWrap/>
            <w:hideMark/>
          </w:tcPr>
          <w:p w14:paraId="28C90A09" w14:textId="77777777" w:rsidR="00E54F1D" w:rsidRPr="000C200F"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val="en-US" w:eastAsia="fr-FR"/>
              </w:rPr>
              <w:t>100</w:t>
            </w:r>
          </w:p>
        </w:tc>
      </w:tr>
    </w:tbl>
    <w:p w14:paraId="7176D6D1" w14:textId="77777777" w:rsidR="00E54F1D" w:rsidRPr="000C200F" w:rsidRDefault="00E54F1D" w:rsidP="00E54F1D">
      <w:pPr>
        <w:jc w:val="both"/>
        <w:rPr>
          <w:rFonts w:ascii="Times New Roman" w:hAnsi="Times New Roman"/>
          <w:sz w:val="28"/>
        </w:rPr>
      </w:pPr>
    </w:p>
    <w:p w14:paraId="771C0D0E"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 xml:space="preserve">D’autre part, la synthèse de l’effectif employé déclaré par les entreprises extractives à l’ITIE-RDC 2016  se présente comme suit : </w:t>
      </w:r>
    </w:p>
    <w:tbl>
      <w:tblPr>
        <w:tblStyle w:val="TableauGrille1Clair1"/>
        <w:tblW w:w="9988" w:type="dxa"/>
        <w:tblLook w:val="04A0" w:firstRow="1" w:lastRow="0" w:firstColumn="1" w:lastColumn="0" w:noHBand="0" w:noVBand="1"/>
      </w:tblPr>
      <w:tblGrid>
        <w:gridCol w:w="1501"/>
        <w:gridCol w:w="1409"/>
        <w:gridCol w:w="1031"/>
        <w:gridCol w:w="1600"/>
        <w:gridCol w:w="1502"/>
        <w:gridCol w:w="1100"/>
        <w:gridCol w:w="1845"/>
      </w:tblGrid>
      <w:tr w:rsidR="00E54F1D" w:rsidRPr="000C200F" w14:paraId="3A774CCF" w14:textId="77777777" w:rsidTr="006E53CE">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0" w:type="auto"/>
            <w:gridSpan w:val="3"/>
            <w:noWrap/>
            <w:vAlign w:val="center"/>
            <w:hideMark/>
          </w:tcPr>
          <w:p w14:paraId="0A2DB91E" w14:textId="77777777" w:rsidR="00E54F1D" w:rsidRPr="005E1507" w:rsidRDefault="00E54F1D" w:rsidP="006E53CE">
            <w:pPr>
              <w:jc w:val="center"/>
              <w:rPr>
                <w:rFonts w:ascii="Times New Roman" w:eastAsia="Times New Roman" w:hAnsi="Times New Roman"/>
                <w:b w:val="0"/>
                <w:bCs w:val="0"/>
                <w:lang w:eastAsia="fr-FR"/>
              </w:rPr>
            </w:pPr>
            <w:r w:rsidRPr="005E1507">
              <w:rPr>
                <w:rFonts w:ascii="Times New Roman" w:eastAsia="Times New Roman" w:hAnsi="Times New Roman"/>
                <w:lang w:eastAsia="fr-FR"/>
              </w:rPr>
              <w:t>Emplois directs</w:t>
            </w:r>
          </w:p>
        </w:tc>
        <w:tc>
          <w:tcPr>
            <w:tcW w:w="0" w:type="auto"/>
            <w:gridSpan w:val="3"/>
            <w:noWrap/>
            <w:vAlign w:val="center"/>
            <w:hideMark/>
          </w:tcPr>
          <w:p w14:paraId="17235E16" w14:textId="77777777" w:rsidR="00E54F1D" w:rsidRPr="005E1507"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fr-FR"/>
              </w:rPr>
            </w:pPr>
            <w:r w:rsidRPr="005E1507">
              <w:rPr>
                <w:rFonts w:ascii="Times New Roman" w:eastAsia="Times New Roman" w:hAnsi="Times New Roman"/>
                <w:lang w:eastAsia="fr-FR"/>
              </w:rPr>
              <w:t>Emplois indirects (sous-traitants)</w:t>
            </w:r>
          </w:p>
        </w:tc>
        <w:tc>
          <w:tcPr>
            <w:tcW w:w="0" w:type="auto"/>
            <w:vMerge w:val="restart"/>
            <w:noWrap/>
            <w:vAlign w:val="center"/>
            <w:hideMark/>
          </w:tcPr>
          <w:p w14:paraId="42DD2F95" w14:textId="77777777" w:rsidR="00E54F1D" w:rsidRPr="005E1507"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fr-FR"/>
              </w:rPr>
            </w:pPr>
            <w:r w:rsidRPr="005E1507">
              <w:rPr>
                <w:rFonts w:ascii="Times New Roman" w:eastAsia="Times New Roman" w:hAnsi="Times New Roman"/>
                <w:lang w:eastAsia="fr-FR"/>
              </w:rPr>
              <w:t>Total général</w:t>
            </w:r>
          </w:p>
        </w:tc>
      </w:tr>
      <w:tr w:rsidR="00E54F1D" w:rsidRPr="000C200F" w14:paraId="7969B472" w14:textId="77777777" w:rsidTr="006E53CE">
        <w:trPr>
          <w:trHeight w:val="6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CA6756" w14:textId="77777777" w:rsidR="00E54F1D" w:rsidRPr="000C200F" w:rsidRDefault="00E54F1D" w:rsidP="006E53CE">
            <w:pPr>
              <w:jc w:val="center"/>
              <w:rPr>
                <w:rFonts w:ascii="Times New Roman" w:eastAsia="Times New Roman" w:hAnsi="Times New Roman"/>
                <w:b w:val="0"/>
                <w:bCs w:val="0"/>
                <w:color w:val="000000"/>
                <w:lang w:eastAsia="fr-FR"/>
              </w:rPr>
            </w:pPr>
            <w:r w:rsidRPr="000C200F">
              <w:rPr>
                <w:rFonts w:ascii="Times New Roman" w:eastAsia="Times New Roman" w:hAnsi="Times New Roman"/>
                <w:color w:val="000000"/>
                <w:lang w:eastAsia="fr-FR"/>
              </w:rPr>
              <w:t>Nationaux</w:t>
            </w:r>
          </w:p>
        </w:tc>
        <w:tc>
          <w:tcPr>
            <w:tcW w:w="0" w:type="auto"/>
            <w:noWrap/>
            <w:vAlign w:val="center"/>
            <w:hideMark/>
          </w:tcPr>
          <w:p w14:paraId="28EB0252"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Expatriés</w:t>
            </w:r>
          </w:p>
        </w:tc>
        <w:tc>
          <w:tcPr>
            <w:tcW w:w="0" w:type="auto"/>
            <w:noWrap/>
            <w:vAlign w:val="center"/>
            <w:hideMark/>
          </w:tcPr>
          <w:p w14:paraId="5AC4C07B"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Total</w:t>
            </w:r>
          </w:p>
        </w:tc>
        <w:tc>
          <w:tcPr>
            <w:tcW w:w="0" w:type="auto"/>
            <w:noWrap/>
            <w:vAlign w:val="center"/>
            <w:hideMark/>
          </w:tcPr>
          <w:p w14:paraId="49190D78"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Nationaux</w:t>
            </w:r>
          </w:p>
        </w:tc>
        <w:tc>
          <w:tcPr>
            <w:tcW w:w="0" w:type="auto"/>
            <w:noWrap/>
            <w:vAlign w:val="center"/>
            <w:hideMark/>
          </w:tcPr>
          <w:p w14:paraId="612685D0"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Expatriés</w:t>
            </w:r>
          </w:p>
        </w:tc>
        <w:tc>
          <w:tcPr>
            <w:tcW w:w="0" w:type="auto"/>
            <w:noWrap/>
            <w:vAlign w:val="center"/>
            <w:hideMark/>
          </w:tcPr>
          <w:p w14:paraId="1DE878DF"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lang w:eastAsia="fr-FR"/>
              </w:rPr>
            </w:pPr>
            <w:r w:rsidRPr="000C200F">
              <w:rPr>
                <w:rFonts w:ascii="Times New Roman" w:eastAsia="Times New Roman" w:hAnsi="Times New Roman"/>
                <w:b/>
                <w:bCs/>
                <w:color w:val="000000"/>
                <w:lang w:eastAsia="fr-FR"/>
              </w:rPr>
              <w:t>Total</w:t>
            </w:r>
          </w:p>
        </w:tc>
        <w:tc>
          <w:tcPr>
            <w:tcW w:w="0" w:type="auto"/>
            <w:vMerge/>
            <w:vAlign w:val="center"/>
            <w:hideMark/>
          </w:tcPr>
          <w:p w14:paraId="7A71C399" w14:textId="77777777" w:rsidR="00E54F1D" w:rsidRPr="000C200F" w:rsidRDefault="00E54F1D" w:rsidP="006E53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p>
        </w:tc>
      </w:tr>
      <w:tr w:rsidR="00E54F1D" w:rsidRPr="005E1507" w14:paraId="2C0FAFC5" w14:textId="77777777" w:rsidTr="006E53CE">
        <w:trPr>
          <w:trHeight w:val="6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73C80F5" w14:textId="77777777" w:rsidR="00E54F1D" w:rsidRPr="005E1507" w:rsidRDefault="00E54F1D" w:rsidP="00F000B0">
            <w:pPr>
              <w:jc w:val="right"/>
              <w:rPr>
                <w:rFonts w:ascii="Times New Roman" w:eastAsia="Times New Roman" w:hAnsi="Times New Roman"/>
                <w:b w:val="0"/>
                <w:color w:val="000000"/>
                <w:lang w:eastAsia="fr-FR"/>
              </w:rPr>
            </w:pPr>
            <w:r w:rsidRPr="005E1507">
              <w:rPr>
                <w:rFonts w:ascii="Times New Roman" w:eastAsia="Times New Roman" w:hAnsi="Times New Roman"/>
                <w:b w:val="0"/>
                <w:color w:val="000000"/>
                <w:lang w:eastAsia="fr-FR"/>
              </w:rPr>
              <w:t>20 742</w:t>
            </w:r>
          </w:p>
        </w:tc>
        <w:tc>
          <w:tcPr>
            <w:tcW w:w="0" w:type="auto"/>
            <w:noWrap/>
            <w:hideMark/>
          </w:tcPr>
          <w:p w14:paraId="172C2779"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2 162</w:t>
            </w:r>
          </w:p>
        </w:tc>
        <w:tc>
          <w:tcPr>
            <w:tcW w:w="0" w:type="auto"/>
            <w:noWrap/>
            <w:hideMark/>
          </w:tcPr>
          <w:p w14:paraId="13F31916"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22 904</w:t>
            </w:r>
          </w:p>
        </w:tc>
        <w:tc>
          <w:tcPr>
            <w:tcW w:w="0" w:type="auto"/>
            <w:noWrap/>
            <w:hideMark/>
          </w:tcPr>
          <w:p w14:paraId="70162972"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16 498</w:t>
            </w:r>
          </w:p>
        </w:tc>
        <w:tc>
          <w:tcPr>
            <w:tcW w:w="0" w:type="auto"/>
            <w:noWrap/>
            <w:hideMark/>
          </w:tcPr>
          <w:p w14:paraId="1D40ED0F"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3 720</w:t>
            </w:r>
          </w:p>
        </w:tc>
        <w:tc>
          <w:tcPr>
            <w:tcW w:w="0" w:type="auto"/>
            <w:noWrap/>
            <w:hideMark/>
          </w:tcPr>
          <w:p w14:paraId="5ED308A0"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20 218</w:t>
            </w:r>
          </w:p>
        </w:tc>
        <w:tc>
          <w:tcPr>
            <w:tcW w:w="0" w:type="auto"/>
            <w:noWrap/>
            <w:hideMark/>
          </w:tcPr>
          <w:p w14:paraId="60FEDA75" w14:textId="77777777" w:rsidR="00E54F1D" w:rsidRPr="005E150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fr-FR"/>
              </w:rPr>
            </w:pPr>
            <w:r w:rsidRPr="005E1507">
              <w:rPr>
                <w:rFonts w:ascii="Times New Roman" w:eastAsia="Times New Roman" w:hAnsi="Times New Roman"/>
                <w:color w:val="000000"/>
                <w:lang w:eastAsia="fr-FR"/>
              </w:rPr>
              <w:t>43 122</w:t>
            </w:r>
          </w:p>
        </w:tc>
      </w:tr>
    </w:tbl>
    <w:p w14:paraId="70D6D64E" w14:textId="77777777" w:rsidR="00E54F1D" w:rsidRPr="000C200F" w:rsidRDefault="00E54F1D" w:rsidP="00E54F1D">
      <w:pPr>
        <w:jc w:val="both"/>
        <w:rPr>
          <w:rFonts w:ascii="Times New Roman" w:hAnsi="Times New Roman"/>
          <w:sz w:val="28"/>
        </w:rPr>
      </w:pPr>
    </w:p>
    <w:p w14:paraId="7CE861F2"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La comparaison de deux tableaux dégage des écarts dus en grande partie à la différence des périmètres  auxquels se réfèrent l’ONEM  et l’ITIE.  Le périmètre ONEM est plus large que celui de l’ITIE. En effet</w:t>
      </w:r>
      <w:r>
        <w:rPr>
          <w:rFonts w:ascii="Times New Roman" w:hAnsi="Times New Roman"/>
          <w:sz w:val="24"/>
          <w:szCs w:val="24"/>
        </w:rPr>
        <w:t>,</w:t>
      </w:r>
      <w:r w:rsidRPr="00AA5920">
        <w:rPr>
          <w:rFonts w:ascii="Times New Roman" w:hAnsi="Times New Roman"/>
          <w:sz w:val="24"/>
          <w:szCs w:val="24"/>
        </w:rPr>
        <w:t xml:space="preserve"> selon l’ONEM, l’activité extractive englobe les aspects suivants : l’extraction du charbon et de lignite, l’extraction du pétrole brut et du gaz naturelle, l’extraction des minerais métalliques, autres activités extractives et diverses activités connexes à l’extraction. </w:t>
      </w:r>
    </w:p>
    <w:p w14:paraId="7A028B9A"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Ainsi, les bases de référence entre les deux structures étant différentes, la comparaison des effectifs déclarés, pour l’instant, n’est pas possible.</w:t>
      </w:r>
    </w:p>
    <w:p w14:paraId="4EB29B8A" w14:textId="77777777" w:rsidR="00E54F1D" w:rsidRPr="00AA5920" w:rsidRDefault="00E54F1D" w:rsidP="00E54F1D">
      <w:pPr>
        <w:jc w:val="both"/>
        <w:rPr>
          <w:rFonts w:ascii="Times New Roman" w:hAnsi="Times New Roman"/>
          <w:sz w:val="24"/>
          <w:szCs w:val="24"/>
        </w:rPr>
      </w:pPr>
      <w:r w:rsidRPr="00AA5920">
        <w:rPr>
          <w:rFonts w:ascii="Times New Roman" w:hAnsi="Times New Roman"/>
          <w:sz w:val="24"/>
          <w:szCs w:val="24"/>
        </w:rPr>
        <w:t xml:space="preserve">Aux fins d’une comparaison possible et raisonnable des déclarations des effectifs, dans l’avenir, l’ONEM sera sollicitée pour fournir à l’ITIE les statistiques afférentes aux seules industries extractives rentrant dans le champ de déclaration de cette dernière. </w:t>
      </w:r>
    </w:p>
    <w:p w14:paraId="529B4BF1" w14:textId="00F2CE06" w:rsidR="00E54F1D" w:rsidRPr="00F000B0" w:rsidRDefault="000668F9" w:rsidP="00F000B0">
      <w:pPr>
        <w:pStyle w:val="Titre2"/>
        <w:rPr>
          <w:rFonts w:ascii="Times New Roman" w:hAnsi="Times New Roman" w:cs="Times New Roman"/>
          <w:sz w:val="24"/>
          <w:szCs w:val="24"/>
        </w:rPr>
      </w:pPr>
      <w:bookmarkStart w:id="177" w:name="_Toc516764341"/>
      <w:bookmarkStart w:id="178" w:name="_Toc518468099"/>
      <w:r>
        <w:rPr>
          <w:rFonts w:ascii="Times New Roman" w:hAnsi="Times New Roman" w:cs="Times New Roman"/>
          <w:sz w:val="24"/>
          <w:szCs w:val="24"/>
        </w:rPr>
        <w:t>VIII.6</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La production et zones d’extraction</w:t>
      </w:r>
      <w:bookmarkEnd w:id="177"/>
      <w:bookmarkEnd w:id="178"/>
    </w:p>
    <w:p w14:paraId="2ABD4441" w14:textId="77777777"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 xml:space="preserve">La production du secteur extractif a été développée par le chapitre y relatif. </w:t>
      </w:r>
    </w:p>
    <w:p w14:paraId="39F03413" w14:textId="57180241"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 xml:space="preserve">En bref, la production minière porte principalement sur les filières suivantes : </w:t>
      </w:r>
      <w:r w:rsidRPr="00F6708C">
        <w:rPr>
          <w:rFonts w:ascii="Times New Roman" w:hAnsi="Times New Roman"/>
          <w:b/>
          <w:sz w:val="24"/>
          <w:szCs w:val="24"/>
        </w:rPr>
        <w:t>cupro-cobalt</w:t>
      </w:r>
      <w:r>
        <w:rPr>
          <w:rFonts w:ascii="Times New Roman" w:hAnsi="Times New Roman"/>
          <w:b/>
          <w:sz w:val="24"/>
          <w:szCs w:val="24"/>
        </w:rPr>
        <w:t>i</w:t>
      </w:r>
      <w:r w:rsidRPr="00F6708C">
        <w:rPr>
          <w:rFonts w:ascii="Times New Roman" w:hAnsi="Times New Roman"/>
          <w:b/>
          <w:sz w:val="24"/>
          <w:szCs w:val="24"/>
        </w:rPr>
        <w:t>fère</w:t>
      </w:r>
      <w:r w:rsidRPr="00F6708C">
        <w:rPr>
          <w:rFonts w:ascii="Times New Roman" w:hAnsi="Times New Roman"/>
          <w:sz w:val="24"/>
          <w:szCs w:val="24"/>
        </w:rPr>
        <w:t xml:space="preserve">  qui est concentrée dans les provinces du  Haut-Katanga et le Lualaba,  </w:t>
      </w:r>
      <w:r w:rsidRPr="00F6708C">
        <w:rPr>
          <w:rFonts w:ascii="Times New Roman" w:hAnsi="Times New Roman"/>
          <w:b/>
          <w:sz w:val="24"/>
          <w:szCs w:val="24"/>
        </w:rPr>
        <w:t>aurifère</w:t>
      </w:r>
      <w:r w:rsidR="005E1F15">
        <w:rPr>
          <w:rFonts w:ascii="Times New Roman" w:hAnsi="Times New Roman"/>
          <w:sz w:val="24"/>
          <w:szCs w:val="24"/>
        </w:rPr>
        <w:t xml:space="preserve"> dans le Haut-Uélé,</w:t>
      </w:r>
      <w:r w:rsidR="00FF0097">
        <w:rPr>
          <w:rFonts w:ascii="Times New Roman" w:hAnsi="Times New Roman"/>
          <w:sz w:val="24"/>
          <w:szCs w:val="24"/>
        </w:rPr>
        <w:t xml:space="preserve"> </w:t>
      </w:r>
      <w:r w:rsidR="005E1F15">
        <w:rPr>
          <w:rFonts w:ascii="Times New Roman" w:hAnsi="Times New Roman"/>
          <w:sz w:val="24"/>
          <w:szCs w:val="24"/>
        </w:rPr>
        <w:t>Ituri</w:t>
      </w:r>
      <w:r w:rsidR="00FF0097">
        <w:rPr>
          <w:rFonts w:ascii="Times New Roman" w:hAnsi="Times New Roman"/>
          <w:sz w:val="24"/>
          <w:szCs w:val="24"/>
        </w:rPr>
        <w:t>,</w:t>
      </w:r>
      <w:r w:rsidR="005E1F15">
        <w:rPr>
          <w:rFonts w:ascii="Times New Roman" w:hAnsi="Times New Roman"/>
          <w:sz w:val="24"/>
          <w:szCs w:val="24"/>
        </w:rPr>
        <w:t xml:space="preserve"> </w:t>
      </w:r>
      <w:r w:rsidRPr="00F6708C">
        <w:rPr>
          <w:rFonts w:ascii="Times New Roman" w:hAnsi="Times New Roman"/>
          <w:sz w:val="24"/>
          <w:szCs w:val="24"/>
        </w:rPr>
        <w:t xml:space="preserve">Maniema et le Sud-Kivu, </w:t>
      </w:r>
      <w:r w:rsidRPr="00F6708C">
        <w:rPr>
          <w:rFonts w:ascii="Times New Roman" w:hAnsi="Times New Roman"/>
          <w:b/>
          <w:sz w:val="24"/>
          <w:szCs w:val="24"/>
        </w:rPr>
        <w:t>diamantifère</w:t>
      </w:r>
      <w:r w:rsidRPr="00F6708C">
        <w:rPr>
          <w:rFonts w:ascii="Times New Roman" w:hAnsi="Times New Roman"/>
          <w:sz w:val="24"/>
          <w:szCs w:val="24"/>
        </w:rPr>
        <w:t xml:space="preserve"> dans le Kasai  Oriental et enfin, la filière </w:t>
      </w:r>
      <w:r w:rsidRPr="00F6708C">
        <w:rPr>
          <w:rFonts w:ascii="Times New Roman" w:hAnsi="Times New Roman"/>
          <w:b/>
          <w:sz w:val="24"/>
          <w:szCs w:val="24"/>
        </w:rPr>
        <w:t>stannifère</w:t>
      </w:r>
      <w:r w:rsidRPr="00F6708C">
        <w:rPr>
          <w:rFonts w:ascii="Times New Roman" w:hAnsi="Times New Roman"/>
          <w:sz w:val="24"/>
          <w:szCs w:val="24"/>
        </w:rPr>
        <w:t xml:space="preserve"> (cassitérite, coltan, wolframite) dans les provinces du Sud –Kivu, Nord-Kivu, Maniema, Tanganyika et Haut–Lomami. Suivant le rapport de la CTCPM 2016, la production de cette dernière filière est d’origine essentiellement artisanale.  </w:t>
      </w:r>
    </w:p>
    <w:p w14:paraId="4F0A9B29" w14:textId="77777777" w:rsidR="00E54F1D" w:rsidRPr="00F6708C" w:rsidRDefault="00E54F1D" w:rsidP="006E53CE">
      <w:pPr>
        <w:jc w:val="both"/>
        <w:rPr>
          <w:rFonts w:ascii="Times New Roman" w:hAnsi="Times New Roman"/>
          <w:sz w:val="24"/>
          <w:szCs w:val="24"/>
        </w:rPr>
      </w:pPr>
      <w:r w:rsidRPr="00F6708C">
        <w:rPr>
          <w:rFonts w:ascii="Times New Roman" w:hAnsi="Times New Roman"/>
          <w:sz w:val="24"/>
          <w:szCs w:val="24"/>
        </w:rPr>
        <w:t>Quant à la production pétrolière, elle est concentrée uniquement sur le littoral dans la Province du Kongo Central.</w:t>
      </w:r>
    </w:p>
    <w:p w14:paraId="64EF6110" w14:textId="77777777" w:rsidR="00E54F1D" w:rsidRDefault="00E54F1D" w:rsidP="00E54F1D">
      <w:pPr>
        <w:ind w:left="284"/>
        <w:jc w:val="both"/>
        <w:rPr>
          <w:rFonts w:ascii="Times New Roman" w:hAnsi="Times New Roman"/>
          <w:sz w:val="28"/>
        </w:rPr>
      </w:pPr>
    </w:p>
    <w:p w14:paraId="4E6B959A" w14:textId="23E88FD7" w:rsidR="00E54F1D" w:rsidRPr="00F813BE" w:rsidRDefault="000668F9" w:rsidP="00F000B0">
      <w:pPr>
        <w:pStyle w:val="Titre2"/>
        <w:rPr>
          <w:rFonts w:ascii="Times New Roman" w:hAnsi="Times New Roman" w:cs="Times New Roman"/>
          <w:b/>
        </w:rPr>
      </w:pPr>
      <w:bookmarkStart w:id="179" w:name="_Toc516764342"/>
      <w:bookmarkStart w:id="180" w:name="_Toc518468100"/>
      <w:r>
        <w:rPr>
          <w:rFonts w:ascii="Times New Roman" w:hAnsi="Times New Roman" w:cs="Times New Roman"/>
          <w:sz w:val="24"/>
          <w:szCs w:val="24"/>
        </w:rPr>
        <w:t>VIII.7</w:t>
      </w:r>
      <w:r w:rsidR="00E54F1D" w:rsidRPr="00F000B0">
        <w:rPr>
          <w:rFonts w:ascii="Times New Roman" w:hAnsi="Times New Roman" w:cs="Times New Roman"/>
          <w:sz w:val="24"/>
          <w:szCs w:val="24"/>
        </w:rPr>
        <w:t xml:space="preserve">. </w:t>
      </w:r>
      <w:r w:rsidR="00E54F1D" w:rsidRPr="002F7F99">
        <w:rPr>
          <w:rFonts w:ascii="Times New Roman" w:hAnsi="Times New Roman" w:cs="Times New Roman"/>
          <w:caps w:val="0"/>
          <w:sz w:val="24"/>
          <w:szCs w:val="24"/>
        </w:rPr>
        <w:t>Contribution de l’artisanat minier</w:t>
      </w:r>
      <w:bookmarkEnd w:id="179"/>
      <w:bookmarkEnd w:id="180"/>
    </w:p>
    <w:p w14:paraId="427001B4" w14:textId="67D55956" w:rsidR="002A7B79" w:rsidRPr="002A7B79" w:rsidRDefault="00B50BF9" w:rsidP="002A7B79">
      <w:pPr>
        <w:pStyle w:val="Paragraphedeliste"/>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5408" behindDoc="0" locked="0" layoutInCell="1" allowOverlap="1" wp14:anchorId="563DACE8" wp14:editId="4EABE1EC">
                <wp:simplePos x="0" y="0"/>
                <wp:positionH relativeFrom="column">
                  <wp:posOffset>-80645</wp:posOffset>
                </wp:positionH>
                <wp:positionV relativeFrom="paragraph">
                  <wp:posOffset>38100</wp:posOffset>
                </wp:positionV>
                <wp:extent cx="6015038" cy="2257425"/>
                <wp:effectExtent l="0" t="0" r="24130" b="28575"/>
                <wp:wrapNone/>
                <wp:docPr id="17" name="Zone de texte 17"/>
                <wp:cNvGraphicFramePr/>
                <a:graphic xmlns:a="http://schemas.openxmlformats.org/drawingml/2006/main">
                  <a:graphicData uri="http://schemas.microsoft.com/office/word/2010/wordprocessingShape">
                    <wps:wsp>
                      <wps:cNvSpPr txBox="1"/>
                      <wps:spPr>
                        <a:xfrm>
                          <a:off x="0" y="0"/>
                          <a:ext cx="6015038" cy="2257425"/>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B993367" w14:textId="77777777" w:rsidR="00553BF2" w:rsidRPr="00B50BF9" w:rsidRDefault="00553BF2" w:rsidP="002F7F99">
                            <w:pPr>
                              <w:ind w:left="142"/>
                              <w:jc w:val="both"/>
                              <w:rPr>
                                <w:rFonts w:ascii="Times New Roman" w:hAnsi="Times New Roman"/>
                              </w:rPr>
                            </w:pPr>
                            <w:r w:rsidRPr="00B50BF9">
                              <w:rPr>
                                <w:rFonts w:ascii="Times New Roman" w:hAnsi="Times New Roman"/>
                                <w:b/>
                              </w:rPr>
                              <w:t>Note</w:t>
                            </w:r>
                            <w:r w:rsidRPr="00B50BF9">
                              <w:rPr>
                                <w:rFonts w:ascii="Times New Roman" w:hAnsi="Times New Roman"/>
                              </w:rPr>
                              <w:t xml:space="preserve"> : </w:t>
                            </w:r>
                          </w:p>
                          <w:p w14:paraId="6F55F63E" w14:textId="71C77208" w:rsidR="00553BF2" w:rsidRPr="00B50BF9" w:rsidRDefault="00553BF2" w:rsidP="000738D3">
                            <w:pPr>
                              <w:pStyle w:val="Paragraphedeliste"/>
                              <w:numPr>
                                <w:ilvl w:val="0"/>
                                <w:numId w:val="40"/>
                              </w:numPr>
                              <w:tabs>
                                <w:tab w:val="left" w:pos="142"/>
                                <w:tab w:val="left" w:pos="284"/>
                                <w:tab w:val="left" w:pos="426"/>
                              </w:tabs>
                              <w:spacing w:after="160" w:line="259" w:lineRule="auto"/>
                              <w:ind w:left="142" w:firstLine="142"/>
                              <w:jc w:val="both"/>
                              <w:rPr>
                                <w:rFonts w:ascii="Times New Roman" w:hAnsi="Times New Roman" w:cs="Times New Roman"/>
                              </w:rPr>
                            </w:pPr>
                            <w:r w:rsidRPr="00B50BF9">
                              <w:rPr>
                                <w:rFonts w:ascii="Times New Roman" w:hAnsi="Times New Roman" w:cs="Times New Roman"/>
                              </w:rPr>
                              <w:t>Ce point a été confectionné sur base des données tirées des « Statistiques Minières Exercice 2016 du Ministère des Mines » et celles fournies par des directions provinciales de  SAEMAP (ex SAESSCAM) : du Nord-Kivu, Sud Kivu, Maniema, Kasaï Oriental Kongo Central</w:t>
                            </w:r>
                            <w:r w:rsidR="00D02547" w:rsidRPr="00B50BF9">
                              <w:rPr>
                                <w:rFonts w:ascii="Times New Roman" w:hAnsi="Times New Roman" w:cs="Times New Roman"/>
                              </w:rPr>
                              <w:t xml:space="preserve"> </w:t>
                            </w:r>
                            <w:r w:rsidRPr="00B50BF9">
                              <w:rPr>
                                <w:rFonts w:ascii="Times New Roman" w:hAnsi="Times New Roman" w:cs="Times New Roman"/>
                              </w:rPr>
                              <w:t xml:space="preserve">et la </w:t>
                            </w:r>
                            <w:proofErr w:type="spellStart"/>
                            <w:r w:rsidRPr="00B50BF9">
                              <w:rPr>
                                <w:rFonts w:ascii="Times New Roman" w:hAnsi="Times New Roman" w:cs="Times New Roman"/>
                              </w:rPr>
                              <w:t>Tshopo</w:t>
                            </w:r>
                            <w:proofErr w:type="spellEnd"/>
                            <w:r w:rsidRPr="00B50BF9">
                              <w:rPr>
                                <w:rFonts w:ascii="Times New Roman" w:hAnsi="Times New Roman" w:cs="Times New Roman"/>
                              </w:rPr>
                              <w:t xml:space="preserve">. Les informations traitées portent sur l’or, le diamant, la cassitérite, le wolframite et le </w:t>
                            </w:r>
                            <w:proofErr w:type="spellStart"/>
                            <w:r w:rsidRPr="00B50BF9">
                              <w:rPr>
                                <w:rFonts w:ascii="Times New Roman" w:hAnsi="Times New Roman" w:cs="Times New Roman"/>
                              </w:rPr>
                              <w:t>coltan</w:t>
                            </w:r>
                            <w:proofErr w:type="spellEnd"/>
                            <w:r w:rsidRPr="00B50BF9">
                              <w:rPr>
                                <w:rFonts w:ascii="Times New Roman" w:hAnsi="Times New Roman" w:cs="Times New Roman"/>
                              </w:rPr>
                              <w:t>.</w:t>
                            </w:r>
                          </w:p>
                          <w:p w14:paraId="4FD4A43B" w14:textId="209AE6E1" w:rsidR="00553BF2" w:rsidRPr="00B50BF9" w:rsidRDefault="00553BF2"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Les sources documentaires</w:t>
                            </w:r>
                            <w:r>
                              <w:rPr>
                                <w:rFonts w:ascii="Times New Roman" w:hAnsi="Times New Roman" w:cs="Times New Roman"/>
                              </w:rPr>
                              <w:t xml:space="preserve"> ainsi que les données reçues </w:t>
                            </w:r>
                            <w:r w:rsidRPr="00B50BF9">
                              <w:rPr>
                                <w:rFonts w:ascii="Times New Roman" w:hAnsi="Times New Roman" w:cs="Times New Roman"/>
                              </w:rPr>
                              <w:t>sont postées sur le site de l’ITIE-RDC.</w:t>
                            </w:r>
                          </w:p>
                          <w:p w14:paraId="2BAD4114" w14:textId="77777777" w:rsidR="00553BF2" w:rsidRPr="00B50BF9" w:rsidRDefault="00553BF2"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 xml:space="preserve">D’utiles informations sur l’artisanat minier de la RDC sont aussi disponibles sur le site de « IPIS » </w:t>
                            </w:r>
                          </w:p>
                          <w:p w14:paraId="30A66758" w14:textId="77777777" w:rsidR="00553BF2" w:rsidRPr="00B50BF9" w:rsidRDefault="00553BF2" w:rsidP="002F7F99">
                            <w:pPr>
                              <w:pStyle w:val="Paragraphedeliste"/>
                              <w:tabs>
                                <w:tab w:val="left" w:pos="426"/>
                              </w:tabs>
                              <w:ind w:left="142"/>
                              <w:jc w:val="both"/>
                              <w:rPr>
                                <w:rFonts w:ascii="Times New Roman" w:hAnsi="Times New Roman" w:cs="Times New Roman"/>
                              </w:rPr>
                            </w:pPr>
                          </w:p>
                          <w:p w14:paraId="6FD2563F" w14:textId="681B3EB3" w:rsidR="00553BF2" w:rsidRPr="00B50BF9" w:rsidRDefault="00553BF2" w:rsidP="00092F1D">
                            <w:pPr>
                              <w:pStyle w:val="Paragraphedeliste"/>
                              <w:numPr>
                                <w:ilvl w:val="0"/>
                                <w:numId w:val="40"/>
                              </w:numPr>
                              <w:tabs>
                                <w:tab w:val="left" w:pos="142"/>
                                <w:tab w:val="left" w:pos="284"/>
                                <w:tab w:val="left" w:pos="426"/>
                              </w:tabs>
                              <w:spacing w:before="240" w:after="160" w:line="259" w:lineRule="auto"/>
                              <w:ind w:left="142" w:firstLine="284"/>
                              <w:jc w:val="both"/>
                            </w:pPr>
                            <w:r w:rsidRPr="00627829">
                              <w:rPr>
                                <w:rFonts w:ascii="Times New Roman" w:hAnsi="Times New Roman" w:cs="Times New Roman"/>
                              </w:rPr>
                              <w:t xml:space="preserve">    Pour mieux cerner son importance dans l’économie, ce secteur </w:t>
                            </w:r>
                            <w:r w:rsidR="00627829" w:rsidRPr="00627829">
                              <w:rPr>
                                <w:rFonts w:ascii="Times New Roman" w:hAnsi="Times New Roman" w:cs="Times New Roman"/>
                              </w:rPr>
                              <w:t>fera l’objet d’</w:t>
                            </w:r>
                            <w:r w:rsidR="00627829" w:rsidRPr="00C607A5">
                              <w:rPr>
                                <w:rFonts w:ascii="Times New Roman" w:hAnsi="Times New Roman" w:cs="Times New Roman"/>
                              </w:rPr>
                              <w:t xml:space="preserve">un rapport </w:t>
                            </w:r>
                            <w:r w:rsidR="00627829" w:rsidRPr="00627829">
                              <w:rPr>
                                <w:rFonts w:ascii="Times New Roman" w:hAnsi="Times New Roman"/>
                              </w:rPr>
                              <w:t>séparé conformément à la</w:t>
                            </w:r>
                            <w:r w:rsidRPr="00627829">
                              <w:rPr>
                                <w:rFonts w:ascii="Times New Roman" w:hAnsi="Times New Roman"/>
                              </w:rPr>
                              <w:t xml:space="preserve"> décision du Comité Exécutif</w:t>
                            </w:r>
                            <w:r w:rsidRPr="00B50BF9">
                              <w:rPr>
                                <w:rStyle w:val="Appelnotedebasdep"/>
                                <w:rFonts w:ascii="Times New Roman" w:hAnsi="Times New Roman" w:cs="Times New Roman"/>
                              </w:rPr>
                              <w:footnoteRef/>
                            </w:r>
                            <w:r w:rsidRPr="00627829">
                              <w:rPr>
                                <w:rFonts w:ascii="Times New Roman" w:hAnsi="Times New Roman" w:cs="Times New Roman"/>
                              </w:rPr>
                              <w:t xml:space="preserve"> </w:t>
                            </w:r>
                            <w:r w:rsidR="00627829" w:rsidRPr="00627829">
                              <w:rPr>
                                <w:rFonts w:ascii="Times New Roman" w:hAnsi="Times New Roman" w:cs="Times New Roman"/>
                              </w:rPr>
                              <w:t>et au plan de travail triennal juillet 2018-juin 2021</w:t>
                            </w:r>
                            <w:r w:rsidR="00627829" w:rsidRPr="00C607A5">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DACE8" id="_x0000_t202" coordsize="21600,21600" o:spt="202" path="m,l,21600r21600,l21600,xe">
                <v:stroke joinstyle="miter"/>
                <v:path gradientshapeok="t" o:connecttype="rect"/>
              </v:shapetype>
              <v:shape id="Zone de texte 17" o:spid="_x0000_s1035" type="#_x0000_t202" style="position:absolute;left:0;text-align:left;margin-left:-6.35pt;margin-top:3pt;width:473.65pt;height:17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" fillcolor="#fff2cc [663]" strokecolor="#fff2cc [663]" strokeweight=".5pt">
                <v:textbox>
                  <w:txbxContent>
                    <w:p w14:paraId="6B993367" w14:textId="77777777" w:rsidR="00553BF2" w:rsidRPr="00B50BF9" w:rsidRDefault="00553BF2" w:rsidP="002F7F99">
                      <w:pPr>
                        <w:ind w:left="142"/>
                        <w:jc w:val="both"/>
                        <w:rPr>
                          <w:rFonts w:ascii="Times New Roman" w:hAnsi="Times New Roman"/>
                        </w:rPr>
                      </w:pPr>
                      <w:r w:rsidRPr="00B50BF9">
                        <w:rPr>
                          <w:rFonts w:ascii="Times New Roman" w:hAnsi="Times New Roman"/>
                          <w:b/>
                        </w:rPr>
                        <w:t>Note</w:t>
                      </w:r>
                      <w:r w:rsidRPr="00B50BF9">
                        <w:rPr>
                          <w:rFonts w:ascii="Times New Roman" w:hAnsi="Times New Roman"/>
                        </w:rPr>
                        <w:t xml:space="preserve"> : </w:t>
                      </w:r>
                    </w:p>
                    <w:p w14:paraId="6F55F63E" w14:textId="71C77208" w:rsidR="00553BF2" w:rsidRPr="00B50BF9" w:rsidRDefault="00553BF2" w:rsidP="000738D3">
                      <w:pPr>
                        <w:pStyle w:val="Paragraphedeliste"/>
                        <w:numPr>
                          <w:ilvl w:val="0"/>
                          <w:numId w:val="40"/>
                        </w:numPr>
                        <w:tabs>
                          <w:tab w:val="left" w:pos="142"/>
                          <w:tab w:val="left" w:pos="284"/>
                          <w:tab w:val="left" w:pos="426"/>
                        </w:tabs>
                        <w:spacing w:after="160" w:line="259" w:lineRule="auto"/>
                        <w:ind w:left="142" w:firstLine="142"/>
                        <w:jc w:val="both"/>
                        <w:rPr>
                          <w:rFonts w:ascii="Times New Roman" w:hAnsi="Times New Roman" w:cs="Times New Roman"/>
                        </w:rPr>
                      </w:pPr>
                      <w:r w:rsidRPr="00B50BF9">
                        <w:rPr>
                          <w:rFonts w:ascii="Times New Roman" w:hAnsi="Times New Roman" w:cs="Times New Roman"/>
                        </w:rPr>
                        <w:t>Ce point a été confectionné sur base des données tirées des « Statistiques Minières Exercice 2016 du Ministère des Mines » et celles fournies par des directions provinciales de  SAEMAP (ex SAESSCAM) : du Nord-Kivu, Sud Kivu, Maniema, Kasaï Oriental Kongo Central</w:t>
                      </w:r>
                      <w:r w:rsidR="00D02547" w:rsidRPr="00B50BF9">
                        <w:rPr>
                          <w:rFonts w:ascii="Times New Roman" w:hAnsi="Times New Roman" w:cs="Times New Roman"/>
                        </w:rPr>
                        <w:t xml:space="preserve"> </w:t>
                      </w:r>
                      <w:r w:rsidRPr="00B50BF9">
                        <w:rPr>
                          <w:rFonts w:ascii="Times New Roman" w:hAnsi="Times New Roman" w:cs="Times New Roman"/>
                        </w:rPr>
                        <w:t xml:space="preserve">et la </w:t>
                      </w:r>
                      <w:proofErr w:type="spellStart"/>
                      <w:r w:rsidRPr="00B50BF9">
                        <w:rPr>
                          <w:rFonts w:ascii="Times New Roman" w:hAnsi="Times New Roman" w:cs="Times New Roman"/>
                        </w:rPr>
                        <w:t>Tshopo</w:t>
                      </w:r>
                      <w:proofErr w:type="spellEnd"/>
                      <w:r w:rsidRPr="00B50BF9">
                        <w:rPr>
                          <w:rFonts w:ascii="Times New Roman" w:hAnsi="Times New Roman" w:cs="Times New Roman"/>
                        </w:rPr>
                        <w:t xml:space="preserve">. Les informations traitées portent sur l’or, le diamant, la cassitérite, le wolframite et le </w:t>
                      </w:r>
                      <w:proofErr w:type="spellStart"/>
                      <w:r w:rsidRPr="00B50BF9">
                        <w:rPr>
                          <w:rFonts w:ascii="Times New Roman" w:hAnsi="Times New Roman" w:cs="Times New Roman"/>
                        </w:rPr>
                        <w:t>coltan</w:t>
                      </w:r>
                      <w:proofErr w:type="spellEnd"/>
                      <w:r w:rsidRPr="00B50BF9">
                        <w:rPr>
                          <w:rFonts w:ascii="Times New Roman" w:hAnsi="Times New Roman" w:cs="Times New Roman"/>
                        </w:rPr>
                        <w:t>.</w:t>
                      </w:r>
                    </w:p>
                    <w:p w14:paraId="4FD4A43B" w14:textId="209AE6E1" w:rsidR="00553BF2" w:rsidRPr="00B50BF9" w:rsidRDefault="00553BF2"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Les sources documentaires</w:t>
                      </w:r>
                      <w:r>
                        <w:rPr>
                          <w:rFonts w:ascii="Times New Roman" w:hAnsi="Times New Roman" w:cs="Times New Roman"/>
                        </w:rPr>
                        <w:t xml:space="preserve"> ainsi que les données reçues </w:t>
                      </w:r>
                      <w:r w:rsidRPr="00B50BF9">
                        <w:rPr>
                          <w:rFonts w:ascii="Times New Roman" w:hAnsi="Times New Roman" w:cs="Times New Roman"/>
                        </w:rPr>
                        <w:t>sont postées sur le site de l’ITIE-RDC.</w:t>
                      </w:r>
                    </w:p>
                    <w:p w14:paraId="2BAD4114" w14:textId="77777777" w:rsidR="00553BF2" w:rsidRPr="00B50BF9" w:rsidRDefault="00553BF2" w:rsidP="002F7F99">
                      <w:pPr>
                        <w:pStyle w:val="Paragraphedeliste"/>
                        <w:tabs>
                          <w:tab w:val="left" w:pos="426"/>
                        </w:tabs>
                        <w:ind w:left="142"/>
                        <w:jc w:val="both"/>
                        <w:rPr>
                          <w:rFonts w:ascii="Times New Roman" w:hAnsi="Times New Roman" w:cs="Times New Roman"/>
                        </w:rPr>
                      </w:pPr>
                      <w:r w:rsidRPr="00B50BF9">
                        <w:rPr>
                          <w:rFonts w:ascii="Times New Roman" w:hAnsi="Times New Roman" w:cs="Times New Roman"/>
                        </w:rPr>
                        <w:t xml:space="preserve">D’utiles informations sur l’artisanat minier de la RDC sont aussi disponibles sur le site de « IPIS » </w:t>
                      </w:r>
                    </w:p>
                    <w:p w14:paraId="30A66758" w14:textId="77777777" w:rsidR="00553BF2" w:rsidRPr="00B50BF9" w:rsidRDefault="00553BF2" w:rsidP="002F7F99">
                      <w:pPr>
                        <w:pStyle w:val="Paragraphedeliste"/>
                        <w:tabs>
                          <w:tab w:val="left" w:pos="426"/>
                        </w:tabs>
                        <w:ind w:left="142"/>
                        <w:jc w:val="both"/>
                        <w:rPr>
                          <w:rFonts w:ascii="Times New Roman" w:hAnsi="Times New Roman" w:cs="Times New Roman"/>
                        </w:rPr>
                      </w:pPr>
                    </w:p>
                    <w:p w14:paraId="6FD2563F" w14:textId="681B3EB3" w:rsidR="00553BF2" w:rsidRPr="00B50BF9" w:rsidRDefault="00553BF2" w:rsidP="00092F1D">
                      <w:pPr>
                        <w:pStyle w:val="Paragraphedeliste"/>
                        <w:numPr>
                          <w:ilvl w:val="0"/>
                          <w:numId w:val="40"/>
                        </w:numPr>
                        <w:tabs>
                          <w:tab w:val="left" w:pos="142"/>
                          <w:tab w:val="left" w:pos="284"/>
                          <w:tab w:val="left" w:pos="426"/>
                        </w:tabs>
                        <w:spacing w:before="240" w:after="160" w:line="259" w:lineRule="auto"/>
                        <w:ind w:left="142" w:firstLine="284"/>
                        <w:jc w:val="both"/>
                      </w:pPr>
                      <w:r w:rsidRPr="00627829">
                        <w:rPr>
                          <w:rFonts w:ascii="Times New Roman" w:hAnsi="Times New Roman" w:cs="Times New Roman"/>
                        </w:rPr>
                        <w:t xml:space="preserve">    Pour mieux cerner son importance dans l’économie, ce secteur </w:t>
                      </w:r>
                      <w:r w:rsidR="00627829" w:rsidRPr="00627829">
                        <w:rPr>
                          <w:rFonts w:ascii="Times New Roman" w:hAnsi="Times New Roman" w:cs="Times New Roman"/>
                        </w:rPr>
                        <w:t>fera l’objet d’</w:t>
                      </w:r>
                      <w:r w:rsidR="00627829" w:rsidRPr="00C607A5">
                        <w:rPr>
                          <w:rFonts w:ascii="Times New Roman" w:hAnsi="Times New Roman" w:cs="Times New Roman"/>
                        </w:rPr>
                        <w:t xml:space="preserve">un rapport </w:t>
                      </w:r>
                      <w:r w:rsidR="00627829" w:rsidRPr="00627829">
                        <w:rPr>
                          <w:rFonts w:ascii="Times New Roman" w:hAnsi="Times New Roman"/>
                        </w:rPr>
                        <w:t>séparé conformément à la</w:t>
                      </w:r>
                      <w:r w:rsidRPr="00627829">
                        <w:rPr>
                          <w:rFonts w:ascii="Times New Roman" w:hAnsi="Times New Roman"/>
                        </w:rPr>
                        <w:t xml:space="preserve"> décision du Comité Exécutif</w:t>
                      </w:r>
                      <w:r w:rsidRPr="00B50BF9">
                        <w:rPr>
                          <w:rStyle w:val="Appelnotedebasdep"/>
                          <w:rFonts w:ascii="Times New Roman" w:hAnsi="Times New Roman" w:cs="Times New Roman"/>
                        </w:rPr>
                        <w:footnoteRef/>
                      </w:r>
                      <w:r w:rsidRPr="00627829">
                        <w:rPr>
                          <w:rFonts w:ascii="Times New Roman" w:hAnsi="Times New Roman" w:cs="Times New Roman"/>
                        </w:rPr>
                        <w:t xml:space="preserve"> </w:t>
                      </w:r>
                      <w:r w:rsidR="00627829" w:rsidRPr="00627829">
                        <w:rPr>
                          <w:rFonts w:ascii="Times New Roman" w:hAnsi="Times New Roman" w:cs="Times New Roman"/>
                        </w:rPr>
                        <w:t>et au plan de travail triennal juillet 2018-juin 2021</w:t>
                      </w:r>
                      <w:r w:rsidR="00627829" w:rsidRPr="00C607A5">
                        <w:rPr>
                          <w:rFonts w:ascii="Times New Roman" w:hAnsi="Times New Roman" w:cs="Times New Roman"/>
                        </w:rPr>
                        <w:t>.</w:t>
                      </w:r>
                    </w:p>
                  </w:txbxContent>
                </v:textbox>
              </v:shape>
            </w:pict>
          </mc:Fallback>
        </mc:AlternateContent>
      </w:r>
    </w:p>
    <w:p w14:paraId="0C119841" w14:textId="77777777" w:rsidR="002F7F99" w:rsidRDefault="002F7F99" w:rsidP="00E54F1D">
      <w:pPr>
        <w:jc w:val="both"/>
        <w:rPr>
          <w:rFonts w:ascii="Times New Roman" w:hAnsi="Times New Roman"/>
          <w:sz w:val="24"/>
          <w:szCs w:val="24"/>
        </w:rPr>
      </w:pPr>
    </w:p>
    <w:p w14:paraId="1A0AB5FB" w14:textId="77777777" w:rsidR="002F7F99" w:rsidRDefault="002F7F99" w:rsidP="00E54F1D">
      <w:pPr>
        <w:jc w:val="both"/>
        <w:rPr>
          <w:rFonts w:ascii="Times New Roman" w:hAnsi="Times New Roman"/>
          <w:sz w:val="24"/>
          <w:szCs w:val="24"/>
        </w:rPr>
      </w:pPr>
    </w:p>
    <w:p w14:paraId="27F412C9" w14:textId="77777777" w:rsidR="002F7F99" w:rsidRDefault="002F7F99" w:rsidP="00E54F1D">
      <w:pPr>
        <w:jc w:val="both"/>
        <w:rPr>
          <w:rFonts w:ascii="Times New Roman" w:hAnsi="Times New Roman"/>
          <w:sz w:val="24"/>
          <w:szCs w:val="24"/>
        </w:rPr>
      </w:pPr>
    </w:p>
    <w:p w14:paraId="59817020" w14:textId="77777777" w:rsidR="002F7F99" w:rsidRDefault="002F7F99" w:rsidP="00E54F1D">
      <w:pPr>
        <w:jc w:val="both"/>
        <w:rPr>
          <w:rFonts w:ascii="Times New Roman" w:hAnsi="Times New Roman"/>
          <w:sz w:val="24"/>
          <w:szCs w:val="24"/>
        </w:rPr>
      </w:pPr>
    </w:p>
    <w:p w14:paraId="55B763ED" w14:textId="77777777" w:rsidR="002F7F99" w:rsidRDefault="002F7F99" w:rsidP="00E54F1D">
      <w:pPr>
        <w:jc w:val="both"/>
        <w:rPr>
          <w:rFonts w:ascii="Times New Roman" w:hAnsi="Times New Roman"/>
          <w:sz w:val="24"/>
          <w:szCs w:val="24"/>
        </w:rPr>
      </w:pPr>
    </w:p>
    <w:p w14:paraId="77814EF0" w14:textId="77777777" w:rsidR="002F7F99" w:rsidRDefault="002F7F99" w:rsidP="00E54F1D">
      <w:pPr>
        <w:jc w:val="both"/>
        <w:rPr>
          <w:rFonts w:ascii="Times New Roman" w:hAnsi="Times New Roman"/>
          <w:sz w:val="24"/>
          <w:szCs w:val="24"/>
        </w:rPr>
      </w:pPr>
    </w:p>
    <w:p w14:paraId="36BE5735" w14:textId="77777777" w:rsidR="002F7F99" w:rsidRDefault="002F7F99" w:rsidP="00E54F1D">
      <w:pPr>
        <w:jc w:val="both"/>
        <w:rPr>
          <w:rFonts w:ascii="Times New Roman" w:hAnsi="Times New Roman"/>
          <w:sz w:val="24"/>
          <w:szCs w:val="24"/>
        </w:rPr>
      </w:pPr>
    </w:p>
    <w:p w14:paraId="599789C5" w14:textId="77777777" w:rsidR="002F7F99" w:rsidRDefault="002F7F99" w:rsidP="00E54F1D">
      <w:pPr>
        <w:jc w:val="both"/>
        <w:rPr>
          <w:rFonts w:ascii="Times New Roman" w:hAnsi="Times New Roman"/>
          <w:sz w:val="24"/>
          <w:szCs w:val="24"/>
        </w:rPr>
      </w:pPr>
    </w:p>
    <w:p w14:paraId="258D3E2F" w14:textId="77777777" w:rsidR="002F7F99" w:rsidRDefault="002F7F99" w:rsidP="00E54F1D">
      <w:pPr>
        <w:jc w:val="both"/>
        <w:rPr>
          <w:rFonts w:ascii="Times New Roman" w:hAnsi="Times New Roman"/>
          <w:sz w:val="24"/>
          <w:szCs w:val="24"/>
        </w:rPr>
      </w:pPr>
    </w:p>
    <w:p w14:paraId="36974EF7" w14:textId="77777777" w:rsidR="002F7F99" w:rsidRDefault="002F7F99" w:rsidP="00E54F1D">
      <w:pPr>
        <w:jc w:val="both"/>
        <w:rPr>
          <w:rFonts w:ascii="Times New Roman" w:hAnsi="Times New Roman"/>
          <w:sz w:val="24"/>
          <w:szCs w:val="24"/>
        </w:rPr>
      </w:pPr>
    </w:p>
    <w:p w14:paraId="64DD800F" w14:textId="7093DE68" w:rsidR="00430899" w:rsidRDefault="00E54F1D" w:rsidP="00E54F1D">
      <w:pPr>
        <w:jc w:val="both"/>
        <w:rPr>
          <w:rFonts w:ascii="Times New Roman" w:hAnsi="Times New Roman"/>
          <w:sz w:val="24"/>
          <w:szCs w:val="24"/>
        </w:rPr>
      </w:pPr>
      <w:r w:rsidRPr="00FF7757">
        <w:rPr>
          <w:rFonts w:ascii="Times New Roman" w:hAnsi="Times New Roman"/>
          <w:sz w:val="24"/>
          <w:szCs w:val="24"/>
        </w:rPr>
        <w:lastRenderedPageBreak/>
        <w:t xml:space="preserve">L’importance de ce secteur dans l’économie nationale est analysée ici, sous </w:t>
      </w:r>
      <w:r>
        <w:rPr>
          <w:rFonts w:ascii="Times New Roman" w:hAnsi="Times New Roman"/>
          <w:sz w:val="24"/>
          <w:szCs w:val="24"/>
        </w:rPr>
        <w:t xml:space="preserve">forme de </w:t>
      </w:r>
      <w:r w:rsidRPr="00FF7757">
        <w:rPr>
          <w:rFonts w:ascii="Times New Roman" w:hAnsi="Times New Roman"/>
          <w:sz w:val="24"/>
          <w:szCs w:val="24"/>
        </w:rPr>
        <w:t>sa   cont</w:t>
      </w:r>
      <w:r>
        <w:rPr>
          <w:rFonts w:ascii="Times New Roman" w:hAnsi="Times New Roman"/>
          <w:sz w:val="24"/>
          <w:szCs w:val="24"/>
        </w:rPr>
        <w:t>ribution à la production et aux</w:t>
      </w:r>
      <w:r w:rsidRPr="00FF7757">
        <w:rPr>
          <w:rFonts w:ascii="Times New Roman" w:hAnsi="Times New Roman"/>
          <w:sz w:val="24"/>
          <w:szCs w:val="24"/>
        </w:rPr>
        <w:t xml:space="preserve"> exportations minières en 2016.</w:t>
      </w:r>
    </w:p>
    <w:p w14:paraId="2086AFC5"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 xml:space="preserve">La production minière artisanale du diamant, de l’or et des 3T en 2016 </w:t>
      </w:r>
      <w:r>
        <w:rPr>
          <w:rFonts w:ascii="Times New Roman" w:hAnsi="Times New Roman"/>
          <w:sz w:val="24"/>
          <w:szCs w:val="24"/>
        </w:rPr>
        <w:t>se résume comme suit</w:t>
      </w:r>
      <w:r w:rsidRPr="00FF7757">
        <w:rPr>
          <w:rFonts w:ascii="Times New Roman" w:hAnsi="Times New Roman"/>
          <w:sz w:val="24"/>
          <w:szCs w:val="24"/>
        </w:rPr>
        <w:t xml:space="preserve"> : </w:t>
      </w:r>
    </w:p>
    <w:tbl>
      <w:tblPr>
        <w:tblStyle w:val="TableauGrille1Clair1"/>
        <w:tblW w:w="9413" w:type="dxa"/>
        <w:tblLook w:val="04A0" w:firstRow="1" w:lastRow="0" w:firstColumn="1" w:lastColumn="0" w:noHBand="0" w:noVBand="1"/>
      </w:tblPr>
      <w:tblGrid>
        <w:gridCol w:w="1403"/>
        <w:gridCol w:w="830"/>
        <w:gridCol w:w="1906"/>
        <w:gridCol w:w="1646"/>
        <w:gridCol w:w="1801"/>
        <w:gridCol w:w="1827"/>
      </w:tblGrid>
      <w:tr w:rsidR="00E54F1D" w:rsidRPr="003D549F" w14:paraId="03A73B69" w14:textId="77777777" w:rsidTr="006E53CE">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11D6C1" w14:textId="77777777" w:rsidR="00E54F1D" w:rsidRPr="003D549F" w:rsidRDefault="00E54F1D" w:rsidP="006E53CE">
            <w:pPr>
              <w:jc w:val="center"/>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Matière</w:t>
            </w:r>
          </w:p>
        </w:tc>
        <w:tc>
          <w:tcPr>
            <w:tcW w:w="0" w:type="auto"/>
            <w:vAlign w:val="center"/>
            <w:hideMark/>
          </w:tcPr>
          <w:p w14:paraId="4968A12D"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Unité</w:t>
            </w:r>
          </w:p>
        </w:tc>
        <w:tc>
          <w:tcPr>
            <w:tcW w:w="1906" w:type="dxa"/>
            <w:vAlign w:val="center"/>
            <w:hideMark/>
          </w:tcPr>
          <w:p w14:paraId="4DFC06E0"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artisanale</w:t>
            </w:r>
          </w:p>
        </w:tc>
        <w:tc>
          <w:tcPr>
            <w:tcW w:w="0" w:type="auto"/>
            <w:vAlign w:val="center"/>
            <w:hideMark/>
          </w:tcPr>
          <w:p w14:paraId="58A09CCF"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industrielle</w:t>
            </w:r>
          </w:p>
        </w:tc>
        <w:tc>
          <w:tcPr>
            <w:tcW w:w="1801" w:type="dxa"/>
            <w:vAlign w:val="center"/>
            <w:hideMark/>
          </w:tcPr>
          <w:p w14:paraId="24AC9E72"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Production totale</w:t>
            </w:r>
          </w:p>
        </w:tc>
        <w:tc>
          <w:tcPr>
            <w:tcW w:w="0" w:type="auto"/>
            <w:vAlign w:val="center"/>
            <w:hideMark/>
          </w:tcPr>
          <w:p w14:paraId="0D474ED0" w14:textId="77777777" w:rsidR="00E54F1D" w:rsidRPr="003D549F" w:rsidRDefault="00E54F1D" w:rsidP="006E53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Part de la production artisanale</w:t>
            </w:r>
          </w:p>
        </w:tc>
      </w:tr>
      <w:tr w:rsidR="00E54F1D" w:rsidRPr="00FF7757" w14:paraId="4B3A07B1"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19EE750"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Diamant</w:t>
            </w:r>
          </w:p>
        </w:tc>
        <w:tc>
          <w:tcPr>
            <w:tcW w:w="0" w:type="auto"/>
            <w:hideMark/>
          </w:tcPr>
          <w:p w14:paraId="081CBC6F"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carat</w:t>
            </w:r>
          </w:p>
        </w:tc>
        <w:tc>
          <w:tcPr>
            <w:tcW w:w="1906" w:type="dxa"/>
            <w:hideMark/>
          </w:tcPr>
          <w:p w14:paraId="5175B60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12 377 331,18</w:t>
            </w:r>
          </w:p>
        </w:tc>
        <w:tc>
          <w:tcPr>
            <w:tcW w:w="0" w:type="auto"/>
            <w:hideMark/>
          </w:tcPr>
          <w:p w14:paraId="2BD5243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3 182 115,3</w:t>
            </w:r>
          </w:p>
        </w:tc>
        <w:tc>
          <w:tcPr>
            <w:tcW w:w="1801" w:type="dxa"/>
            <w:hideMark/>
          </w:tcPr>
          <w:p w14:paraId="2ADB9E5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1555 947,19</w:t>
            </w:r>
          </w:p>
        </w:tc>
        <w:tc>
          <w:tcPr>
            <w:tcW w:w="0" w:type="auto"/>
            <w:hideMark/>
          </w:tcPr>
          <w:p w14:paraId="4655235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79,55%</w:t>
            </w:r>
          </w:p>
        </w:tc>
      </w:tr>
      <w:tr w:rsidR="00E54F1D" w:rsidRPr="00FF7757" w14:paraId="4D32810C"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0C45DC88"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Or</w:t>
            </w:r>
          </w:p>
        </w:tc>
        <w:tc>
          <w:tcPr>
            <w:tcW w:w="0" w:type="auto"/>
            <w:hideMark/>
          </w:tcPr>
          <w:p w14:paraId="6F2A0EF7"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Kg</w:t>
            </w:r>
          </w:p>
        </w:tc>
        <w:tc>
          <w:tcPr>
            <w:tcW w:w="1906" w:type="dxa"/>
            <w:hideMark/>
          </w:tcPr>
          <w:p w14:paraId="3B8D1776"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442,16</w:t>
            </w:r>
          </w:p>
        </w:tc>
        <w:tc>
          <w:tcPr>
            <w:tcW w:w="0" w:type="auto"/>
            <w:hideMark/>
          </w:tcPr>
          <w:p w14:paraId="2EC9DBEA"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30 221,68</w:t>
            </w:r>
          </w:p>
        </w:tc>
        <w:tc>
          <w:tcPr>
            <w:tcW w:w="1801" w:type="dxa"/>
            <w:hideMark/>
          </w:tcPr>
          <w:p w14:paraId="110675E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30 663,84</w:t>
            </w:r>
          </w:p>
        </w:tc>
        <w:tc>
          <w:tcPr>
            <w:tcW w:w="0" w:type="auto"/>
            <w:hideMark/>
          </w:tcPr>
          <w:p w14:paraId="3FE4F25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1,44%</w:t>
            </w:r>
          </w:p>
        </w:tc>
      </w:tr>
      <w:tr w:rsidR="00E54F1D" w:rsidRPr="00FF7757" w14:paraId="5A32566F" w14:textId="77777777" w:rsidTr="006E53CE">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58D8A18"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Coltan</w:t>
            </w:r>
          </w:p>
        </w:tc>
        <w:tc>
          <w:tcPr>
            <w:tcW w:w="0" w:type="auto"/>
            <w:hideMark/>
          </w:tcPr>
          <w:p w14:paraId="41F7814D"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4F2844DB"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2414</w:t>
            </w:r>
          </w:p>
        </w:tc>
        <w:tc>
          <w:tcPr>
            <w:tcW w:w="0" w:type="auto"/>
            <w:hideMark/>
          </w:tcPr>
          <w:p w14:paraId="56E6764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6253564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2414</w:t>
            </w:r>
          </w:p>
        </w:tc>
        <w:tc>
          <w:tcPr>
            <w:tcW w:w="0" w:type="auto"/>
            <w:hideMark/>
          </w:tcPr>
          <w:p w14:paraId="3221EA9D"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7703E8F3" w14:textId="77777777" w:rsidTr="006E53CE">
        <w:trPr>
          <w:trHeight w:val="360"/>
        </w:trPr>
        <w:tc>
          <w:tcPr>
            <w:cnfStyle w:val="001000000000" w:firstRow="0" w:lastRow="0" w:firstColumn="1" w:lastColumn="0" w:oddVBand="0" w:evenVBand="0" w:oddHBand="0" w:evenHBand="0" w:firstRowFirstColumn="0" w:firstRowLastColumn="0" w:lastRowFirstColumn="0" w:lastRowLastColumn="0"/>
            <w:tcW w:w="0" w:type="auto"/>
            <w:hideMark/>
          </w:tcPr>
          <w:p w14:paraId="582AD284"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Cassitérite</w:t>
            </w:r>
          </w:p>
        </w:tc>
        <w:tc>
          <w:tcPr>
            <w:tcW w:w="0" w:type="auto"/>
            <w:hideMark/>
          </w:tcPr>
          <w:p w14:paraId="7DDAE4E5"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518C285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11 824,34</w:t>
            </w:r>
          </w:p>
        </w:tc>
        <w:tc>
          <w:tcPr>
            <w:tcW w:w="0" w:type="auto"/>
            <w:hideMark/>
          </w:tcPr>
          <w:p w14:paraId="08F38079"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00945BA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11 824,34</w:t>
            </w:r>
          </w:p>
        </w:tc>
        <w:tc>
          <w:tcPr>
            <w:tcW w:w="0" w:type="auto"/>
            <w:hideMark/>
          </w:tcPr>
          <w:p w14:paraId="568CEA4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1225A1FD" w14:textId="77777777" w:rsidTr="006E53CE">
        <w:trPr>
          <w:trHeight w:val="360"/>
        </w:trPr>
        <w:tc>
          <w:tcPr>
            <w:cnfStyle w:val="001000000000" w:firstRow="0" w:lastRow="0" w:firstColumn="1" w:lastColumn="0" w:oddVBand="0" w:evenVBand="0" w:oddHBand="0" w:evenHBand="0" w:firstRowFirstColumn="0" w:firstRowLastColumn="0" w:lastRowFirstColumn="0" w:lastRowLastColumn="0"/>
            <w:tcW w:w="0" w:type="auto"/>
            <w:hideMark/>
          </w:tcPr>
          <w:p w14:paraId="6C0CAB0F" w14:textId="77777777" w:rsidR="00E54F1D" w:rsidRPr="003D549F" w:rsidRDefault="00E54F1D" w:rsidP="00F000B0">
            <w:pPr>
              <w:jc w:val="both"/>
              <w:rPr>
                <w:rFonts w:ascii="Times New Roman" w:eastAsia="Times New Roman" w:hAnsi="Times New Roman"/>
                <w:sz w:val="24"/>
                <w:szCs w:val="24"/>
                <w:lang w:eastAsia="fr-FR"/>
              </w:rPr>
            </w:pPr>
            <w:r w:rsidRPr="003D549F">
              <w:rPr>
                <w:rFonts w:ascii="Times New Roman" w:eastAsia="Times New Roman" w:hAnsi="Times New Roman"/>
                <w:sz w:val="24"/>
                <w:szCs w:val="24"/>
                <w:lang w:eastAsia="fr-FR"/>
              </w:rPr>
              <w:t>Wolframite</w:t>
            </w:r>
          </w:p>
        </w:tc>
        <w:tc>
          <w:tcPr>
            <w:tcW w:w="0" w:type="auto"/>
            <w:hideMark/>
          </w:tcPr>
          <w:p w14:paraId="3D0B5729" w14:textId="77777777" w:rsidR="00E54F1D" w:rsidRPr="00FF7757" w:rsidRDefault="00E54F1D"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906" w:type="dxa"/>
            <w:hideMark/>
          </w:tcPr>
          <w:p w14:paraId="771B8B5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153,88</w:t>
            </w:r>
          </w:p>
        </w:tc>
        <w:tc>
          <w:tcPr>
            <w:tcW w:w="0" w:type="auto"/>
            <w:noWrap/>
            <w:hideMark/>
          </w:tcPr>
          <w:p w14:paraId="76BDABC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 </w:t>
            </w:r>
          </w:p>
        </w:tc>
        <w:tc>
          <w:tcPr>
            <w:tcW w:w="1801" w:type="dxa"/>
            <w:hideMark/>
          </w:tcPr>
          <w:p w14:paraId="6574A2A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153,88</w:t>
            </w:r>
          </w:p>
        </w:tc>
        <w:tc>
          <w:tcPr>
            <w:tcW w:w="0" w:type="auto"/>
            <w:noWrap/>
            <w:hideMark/>
          </w:tcPr>
          <w:p w14:paraId="468FB528"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bl>
    <w:p w14:paraId="48C43450" w14:textId="755ED67D" w:rsidR="00E54F1D" w:rsidRPr="003D549F" w:rsidRDefault="00E54F1D" w:rsidP="00E54F1D">
      <w:pPr>
        <w:jc w:val="both"/>
        <w:rPr>
          <w:rFonts w:ascii="Times New Roman" w:hAnsi="Times New Roman"/>
          <w:sz w:val="16"/>
          <w:szCs w:val="16"/>
        </w:rPr>
      </w:pPr>
      <w:r w:rsidRPr="003D549F">
        <w:rPr>
          <w:rFonts w:ascii="Times New Roman" w:hAnsi="Times New Roman"/>
          <w:sz w:val="16"/>
          <w:szCs w:val="16"/>
        </w:rPr>
        <w:t>Source : « Statistiques Minières Exercice 2016 du Ministère des Mines »</w:t>
      </w:r>
      <w:r w:rsidR="00C607A5">
        <w:rPr>
          <w:rFonts w:ascii="Times New Roman" w:hAnsi="Times New Roman"/>
          <w:sz w:val="16"/>
          <w:szCs w:val="16"/>
        </w:rPr>
        <w:t>lien</w:t>
      </w:r>
    </w:p>
    <w:p w14:paraId="2A17ACE4"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Il ressort de ce tableau que, hormis l’or, la production industrielle dans l’ensemble est marginale par rapport à la production artisanale</w:t>
      </w:r>
      <w:r>
        <w:rPr>
          <w:rFonts w:ascii="Times New Roman" w:hAnsi="Times New Roman"/>
          <w:sz w:val="24"/>
          <w:szCs w:val="24"/>
        </w:rPr>
        <w:t xml:space="preserve"> et que cette dernière</w:t>
      </w:r>
      <w:r w:rsidRPr="00FF7757">
        <w:rPr>
          <w:rFonts w:ascii="Times New Roman" w:hAnsi="Times New Roman"/>
          <w:sz w:val="24"/>
          <w:szCs w:val="24"/>
        </w:rPr>
        <w:t xml:space="preserve"> alimente l’essentiel </w:t>
      </w:r>
      <w:r>
        <w:rPr>
          <w:rFonts w:ascii="Times New Roman" w:hAnsi="Times New Roman"/>
          <w:sz w:val="24"/>
          <w:szCs w:val="24"/>
        </w:rPr>
        <w:t>des exportations du diamant et d</w:t>
      </w:r>
      <w:r w:rsidRPr="00FF7757">
        <w:rPr>
          <w:rFonts w:ascii="Times New Roman" w:hAnsi="Times New Roman"/>
          <w:sz w:val="24"/>
          <w:szCs w:val="24"/>
        </w:rPr>
        <w:t>es 3T.</w:t>
      </w:r>
    </w:p>
    <w:p w14:paraId="695079C6" w14:textId="77777777" w:rsidR="00E54F1D" w:rsidRPr="00FF7757" w:rsidRDefault="00E54F1D" w:rsidP="00E54F1D">
      <w:pPr>
        <w:jc w:val="both"/>
        <w:rPr>
          <w:rFonts w:ascii="Times New Roman" w:hAnsi="Times New Roman"/>
          <w:sz w:val="24"/>
          <w:szCs w:val="24"/>
        </w:rPr>
      </w:pPr>
      <w:r w:rsidRPr="00FF7757">
        <w:rPr>
          <w:rFonts w:ascii="Times New Roman" w:hAnsi="Times New Roman"/>
          <w:sz w:val="24"/>
          <w:szCs w:val="24"/>
        </w:rPr>
        <w:t xml:space="preserve">Comme la production, </w:t>
      </w:r>
      <w:r>
        <w:rPr>
          <w:rFonts w:ascii="Times New Roman" w:hAnsi="Times New Roman"/>
          <w:sz w:val="24"/>
          <w:szCs w:val="24"/>
        </w:rPr>
        <w:t>l</w:t>
      </w:r>
      <w:r w:rsidRPr="00FF7757">
        <w:rPr>
          <w:rFonts w:ascii="Times New Roman" w:hAnsi="Times New Roman"/>
          <w:sz w:val="24"/>
          <w:szCs w:val="24"/>
        </w:rPr>
        <w:t>es exportations des produits marchands d’origine artisanale portent sur le diamant, l’or et les 3T. Elles so</w:t>
      </w:r>
      <w:r>
        <w:rPr>
          <w:rFonts w:ascii="Times New Roman" w:hAnsi="Times New Roman"/>
          <w:sz w:val="24"/>
          <w:szCs w:val="24"/>
        </w:rPr>
        <w:t>nt détaillées dans le tableau ci</w:t>
      </w:r>
      <w:r w:rsidRPr="00FF7757">
        <w:rPr>
          <w:rFonts w:ascii="Times New Roman" w:hAnsi="Times New Roman"/>
          <w:sz w:val="24"/>
          <w:szCs w:val="24"/>
        </w:rPr>
        <w:t xml:space="preserve">–dessous : </w:t>
      </w:r>
    </w:p>
    <w:p w14:paraId="4F5C7DB1" w14:textId="77777777" w:rsidR="00E54F1D" w:rsidRPr="00FF7757" w:rsidRDefault="00E54F1D" w:rsidP="00E54F1D">
      <w:pPr>
        <w:jc w:val="both"/>
        <w:rPr>
          <w:rFonts w:ascii="Times New Roman" w:hAnsi="Times New Roman"/>
          <w:i/>
          <w:sz w:val="24"/>
          <w:szCs w:val="24"/>
          <w:u w:val="single"/>
        </w:rPr>
      </w:pPr>
      <w:r w:rsidRPr="00FF7757">
        <w:rPr>
          <w:rFonts w:ascii="Times New Roman" w:hAnsi="Times New Roman"/>
          <w:sz w:val="24"/>
          <w:szCs w:val="24"/>
        </w:rPr>
        <w:t xml:space="preserve"> </w:t>
      </w:r>
      <w:r w:rsidRPr="00FF7757">
        <w:rPr>
          <w:rFonts w:ascii="Times New Roman" w:hAnsi="Times New Roman"/>
          <w:i/>
          <w:sz w:val="24"/>
          <w:szCs w:val="24"/>
          <w:u w:val="single"/>
        </w:rPr>
        <w:t>Exportations d’origine artisanale dans l’ensemble des exportations</w:t>
      </w:r>
    </w:p>
    <w:tbl>
      <w:tblPr>
        <w:tblStyle w:val="TableauGrille1Clair1"/>
        <w:tblW w:w="9203" w:type="dxa"/>
        <w:tblLook w:val="04A0" w:firstRow="1" w:lastRow="0" w:firstColumn="1" w:lastColumn="0" w:noHBand="0" w:noVBand="1"/>
      </w:tblPr>
      <w:tblGrid>
        <w:gridCol w:w="1403"/>
        <w:gridCol w:w="1240"/>
        <w:gridCol w:w="1601"/>
        <w:gridCol w:w="1843"/>
        <w:gridCol w:w="1846"/>
        <w:gridCol w:w="1270"/>
      </w:tblGrid>
      <w:tr w:rsidR="00E54F1D" w:rsidRPr="00DA2B3E" w14:paraId="454C6291" w14:textId="77777777" w:rsidTr="00943F67">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A4EC432"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Matière</w:t>
            </w:r>
          </w:p>
        </w:tc>
        <w:tc>
          <w:tcPr>
            <w:tcW w:w="1240" w:type="dxa"/>
            <w:noWrap/>
            <w:hideMark/>
          </w:tcPr>
          <w:p w14:paraId="2AC98449"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Unité</w:t>
            </w:r>
          </w:p>
        </w:tc>
        <w:tc>
          <w:tcPr>
            <w:tcW w:w="1601" w:type="dxa"/>
            <w:hideMark/>
          </w:tcPr>
          <w:p w14:paraId="0FE4C15C"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artisanales (en $Usd)</w:t>
            </w:r>
          </w:p>
        </w:tc>
        <w:tc>
          <w:tcPr>
            <w:tcW w:w="1843" w:type="dxa"/>
            <w:hideMark/>
          </w:tcPr>
          <w:p w14:paraId="55DA9BEB"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industrielle (en $Usd)</w:t>
            </w:r>
          </w:p>
        </w:tc>
        <w:tc>
          <w:tcPr>
            <w:tcW w:w="1846" w:type="dxa"/>
            <w:hideMark/>
          </w:tcPr>
          <w:p w14:paraId="3E9C7ABC"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Exportations totales (En $Usd)</w:t>
            </w:r>
          </w:p>
        </w:tc>
        <w:tc>
          <w:tcPr>
            <w:tcW w:w="1270" w:type="dxa"/>
            <w:hideMark/>
          </w:tcPr>
          <w:p w14:paraId="141D5B83" w14:textId="77777777" w:rsidR="00E54F1D" w:rsidRPr="00DA2B3E" w:rsidRDefault="00E54F1D"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Part de l'artisanat</w:t>
            </w:r>
          </w:p>
        </w:tc>
      </w:tr>
      <w:tr w:rsidR="00E54F1D" w:rsidRPr="00FF7757" w14:paraId="005C1F5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E6E3470"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Diamant</w:t>
            </w:r>
          </w:p>
        </w:tc>
        <w:tc>
          <w:tcPr>
            <w:tcW w:w="1240" w:type="dxa"/>
            <w:noWrap/>
            <w:hideMark/>
          </w:tcPr>
          <w:p w14:paraId="04DE656A"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carat</w:t>
            </w:r>
          </w:p>
        </w:tc>
        <w:tc>
          <w:tcPr>
            <w:tcW w:w="1601" w:type="dxa"/>
            <w:noWrap/>
            <w:hideMark/>
          </w:tcPr>
          <w:p w14:paraId="62E533E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174 598 777,8</w:t>
            </w:r>
          </w:p>
        </w:tc>
        <w:tc>
          <w:tcPr>
            <w:tcW w:w="1843" w:type="dxa"/>
            <w:noWrap/>
            <w:hideMark/>
          </w:tcPr>
          <w:p w14:paraId="0E04043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14 746 354,2</w:t>
            </w:r>
          </w:p>
        </w:tc>
        <w:tc>
          <w:tcPr>
            <w:tcW w:w="1846" w:type="dxa"/>
            <w:noWrap/>
            <w:hideMark/>
          </w:tcPr>
          <w:p w14:paraId="4B21DA9D"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229 299 054,9</w:t>
            </w:r>
          </w:p>
        </w:tc>
        <w:tc>
          <w:tcPr>
            <w:tcW w:w="1270" w:type="dxa"/>
            <w:noWrap/>
            <w:hideMark/>
          </w:tcPr>
          <w:p w14:paraId="6CCC9AD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76,14%</w:t>
            </w:r>
          </w:p>
        </w:tc>
      </w:tr>
      <w:tr w:rsidR="00E54F1D" w:rsidRPr="00FF7757" w14:paraId="3598D0DE" w14:textId="77777777" w:rsidTr="00943F67">
        <w:trPr>
          <w:trHeight w:val="27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92B1728"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Or</w:t>
            </w:r>
          </w:p>
        </w:tc>
        <w:tc>
          <w:tcPr>
            <w:tcW w:w="1240" w:type="dxa"/>
            <w:noWrap/>
            <w:hideMark/>
          </w:tcPr>
          <w:p w14:paraId="35244F79"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Kg</w:t>
            </w:r>
          </w:p>
        </w:tc>
        <w:tc>
          <w:tcPr>
            <w:tcW w:w="1601" w:type="dxa"/>
            <w:noWrap/>
            <w:hideMark/>
          </w:tcPr>
          <w:p w14:paraId="4D099312"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7 970 284,0</w:t>
            </w:r>
          </w:p>
        </w:tc>
        <w:tc>
          <w:tcPr>
            <w:tcW w:w="1843" w:type="dxa"/>
            <w:noWrap/>
            <w:hideMark/>
          </w:tcPr>
          <w:p w14:paraId="035C09A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1 211 518 031</w:t>
            </w:r>
          </w:p>
        </w:tc>
        <w:tc>
          <w:tcPr>
            <w:tcW w:w="1846" w:type="dxa"/>
            <w:noWrap/>
            <w:hideMark/>
          </w:tcPr>
          <w:p w14:paraId="7CEA5B7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1 219 488 315,5</w:t>
            </w:r>
          </w:p>
        </w:tc>
        <w:tc>
          <w:tcPr>
            <w:tcW w:w="1270" w:type="dxa"/>
            <w:noWrap/>
            <w:hideMark/>
          </w:tcPr>
          <w:p w14:paraId="45C51A90"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0,65%</w:t>
            </w:r>
          </w:p>
        </w:tc>
      </w:tr>
      <w:tr w:rsidR="00E54F1D" w:rsidRPr="00FF7757" w14:paraId="6EA8CD4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291A439"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Coltan</w:t>
            </w:r>
          </w:p>
        </w:tc>
        <w:tc>
          <w:tcPr>
            <w:tcW w:w="1240" w:type="dxa"/>
            <w:noWrap/>
            <w:hideMark/>
          </w:tcPr>
          <w:p w14:paraId="6855F4CC"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449D2AF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54 827 912,0</w:t>
            </w:r>
          </w:p>
        </w:tc>
        <w:tc>
          <w:tcPr>
            <w:tcW w:w="1843" w:type="dxa"/>
            <w:noWrap/>
            <w:hideMark/>
          </w:tcPr>
          <w:p w14:paraId="5C87604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5084CC32"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54 827 912,0</w:t>
            </w:r>
          </w:p>
        </w:tc>
        <w:tc>
          <w:tcPr>
            <w:tcW w:w="1270" w:type="dxa"/>
            <w:noWrap/>
            <w:hideMark/>
          </w:tcPr>
          <w:p w14:paraId="119A7C8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6DC4C95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CD88631"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Cassitérite</w:t>
            </w:r>
          </w:p>
        </w:tc>
        <w:tc>
          <w:tcPr>
            <w:tcW w:w="1240" w:type="dxa"/>
            <w:noWrap/>
            <w:hideMark/>
          </w:tcPr>
          <w:p w14:paraId="79A0FECF"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305C327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64 134 872,0</w:t>
            </w:r>
          </w:p>
        </w:tc>
        <w:tc>
          <w:tcPr>
            <w:tcW w:w="1843" w:type="dxa"/>
            <w:noWrap/>
            <w:hideMark/>
          </w:tcPr>
          <w:p w14:paraId="5C084B4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453DCDE5"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64 134 872,0</w:t>
            </w:r>
          </w:p>
        </w:tc>
        <w:tc>
          <w:tcPr>
            <w:tcW w:w="1270" w:type="dxa"/>
            <w:noWrap/>
            <w:hideMark/>
          </w:tcPr>
          <w:p w14:paraId="6F10ACD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53E8DC8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16C0E41"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Wolframite</w:t>
            </w:r>
          </w:p>
        </w:tc>
        <w:tc>
          <w:tcPr>
            <w:tcW w:w="1240" w:type="dxa"/>
            <w:noWrap/>
            <w:hideMark/>
          </w:tcPr>
          <w:p w14:paraId="196BA7C3" w14:textId="77777777" w:rsidR="00E54F1D" w:rsidRPr="00FF775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Tonne</w:t>
            </w:r>
          </w:p>
        </w:tc>
        <w:tc>
          <w:tcPr>
            <w:tcW w:w="1601" w:type="dxa"/>
            <w:noWrap/>
            <w:hideMark/>
          </w:tcPr>
          <w:p w14:paraId="520F96A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736 349,0</w:t>
            </w:r>
          </w:p>
        </w:tc>
        <w:tc>
          <w:tcPr>
            <w:tcW w:w="1843" w:type="dxa"/>
            <w:noWrap/>
            <w:hideMark/>
          </w:tcPr>
          <w:p w14:paraId="3B12F14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w:t>
            </w:r>
          </w:p>
        </w:tc>
        <w:tc>
          <w:tcPr>
            <w:tcW w:w="1846" w:type="dxa"/>
            <w:noWrap/>
            <w:hideMark/>
          </w:tcPr>
          <w:p w14:paraId="60BE6F7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736 349,0</w:t>
            </w:r>
          </w:p>
        </w:tc>
        <w:tc>
          <w:tcPr>
            <w:tcW w:w="1270" w:type="dxa"/>
            <w:noWrap/>
            <w:hideMark/>
          </w:tcPr>
          <w:p w14:paraId="04C6A65C"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100%</w:t>
            </w:r>
          </w:p>
        </w:tc>
      </w:tr>
      <w:tr w:rsidR="00E54F1D" w:rsidRPr="00FF7757" w14:paraId="43098934" w14:textId="77777777" w:rsidTr="00943F67">
        <w:trPr>
          <w:trHeight w:val="366"/>
        </w:trPr>
        <w:tc>
          <w:tcPr>
            <w:cnfStyle w:val="001000000000" w:firstRow="0" w:lastRow="0" w:firstColumn="1" w:lastColumn="0" w:oddVBand="0" w:evenVBand="0" w:oddHBand="0" w:evenHBand="0" w:firstRowFirstColumn="0" w:firstRowLastColumn="0" w:lastRowFirstColumn="0" w:lastRowLastColumn="0"/>
            <w:tcW w:w="1403" w:type="dxa"/>
            <w:noWrap/>
          </w:tcPr>
          <w:p w14:paraId="27602CD6" w14:textId="77777777" w:rsidR="00E54F1D" w:rsidRPr="00DA2B3E" w:rsidRDefault="00E54F1D" w:rsidP="00F000B0">
            <w:pPr>
              <w:rPr>
                <w:rFonts w:ascii="Times New Roman" w:eastAsia="Times New Roman" w:hAnsi="Times New Roman"/>
                <w:sz w:val="24"/>
                <w:szCs w:val="24"/>
                <w:lang w:eastAsia="fr-FR"/>
              </w:rPr>
            </w:pPr>
            <w:r w:rsidRPr="00DA2B3E">
              <w:rPr>
                <w:rFonts w:ascii="Times New Roman" w:eastAsia="Times New Roman" w:hAnsi="Times New Roman"/>
                <w:sz w:val="24"/>
                <w:szCs w:val="24"/>
                <w:lang w:eastAsia="fr-FR"/>
              </w:rPr>
              <w:t>Total</w:t>
            </w:r>
          </w:p>
        </w:tc>
        <w:tc>
          <w:tcPr>
            <w:tcW w:w="1240" w:type="dxa"/>
            <w:noWrap/>
          </w:tcPr>
          <w:p w14:paraId="2FA4DDC4"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p>
        </w:tc>
        <w:tc>
          <w:tcPr>
            <w:tcW w:w="1601" w:type="dxa"/>
            <w:noWrap/>
          </w:tcPr>
          <w:p w14:paraId="62DC81BE"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302 268 195</w:t>
            </w:r>
          </w:p>
        </w:tc>
        <w:tc>
          <w:tcPr>
            <w:tcW w:w="1843" w:type="dxa"/>
            <w:noWrap/>
          </w:tcPr>
          <w:p w14:paraId="406A322F"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1 226 264 385</w:t>
            </w:r>
          </w:p>
        </w:tc>
        <w:tc>
          <w:tcPr>
            <w:tcW w:w="1846" w:type="dxa"/>
            <w:noWrap/>
          </w:tcPr>
          <w:p w14:paraId="45141EF3"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hAnsi="Times New Roman"/>
                <w:color w:val="000000"/>
                <w:sz w:val="24"/>
                <w:szCs w:val="24"/>
              </w:rPr>
              <w:t>1 528 532 580</w:t>
            </w:r>
          </w:p>
        </w:tc>
        <w:tc>
          <w:tcPr>
            <w:tcW w:w="1270" w:type="dxa"/>
            <w:noWrap/>
          </w:tcPr>
          <w:p w14:paraId="2FF41D01"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p>
        </w:tc>
      </w:tr>
    </w:tbl>
    <w:p w14:paraId="5FE16190" w14:textId="77777777" w:rsidR="00E54F1D" w:rsidRPr="00DA2B3E" w:rsidRDefault="00E54F1D" w:rsidP="00E54F1D">
      <w:pPr>
        <w:jc w:val="both"/>
        <w:rPr>
          <w:rFonts w:ascii="Times New Roman" w:hAnsi="Times New Roman"/>
          <w:sz w:val="16"/>
          <w:szCs w:val="16"/>
        </w:rPr>
      </w:pPr>
      <w:r w:rsidRPr="00DA2B3E">
        <w:rPr>
          <w:rFonts w:ascii="Times New Roman" w:hAnsi="Times New Roman"/>
          <w:sz w:val="16"/>
          <w:szCs w:val="16"/>
        </w:rPr>
        <w:t xml:space="preserve"> Source :   Statistiques Minières Exercice 2016 du Ministère des Mines 2016.   </w:t>
      </w:r>
    </w:p>
    <w:p w14:paraId="6468AAB3" w14:textId="77777777" w:rsidR="00E54F1D" w:rsidRPr="00FF7757" w:rsidRDefault="00E54F1D" w:rsidP="00E54F1D">
      <w:pPr>
        <w:jc w:val="both"/>
        <w:rPr>
          <w:rFonts w:ascii="Times New Roman" w:hAnsi="Times New Roman"/>
          <w:sz w:val="24"/>
          <w:szCs w:val="24"/>
        </w:rPr>
      </w:pPr>
      <w:r>
        <w:rPr>
          <w:rFonts w:ascii="Times New Roman" w:hAnsi="Times New Roman"/>
          <w:sz w:val="24"/>
          <w:szCs w:val="24"/>
        </w:rPr>
        <w:t>Il apparait que l</w:t>
      </w:r>
      <w:r w:rsidRPr="00FF7757">
        <w:rPr>
          <w:rFonts w:ascii="Times New Roman" w:hAnsi="Times New Roman"/>
          <w:sz w:val="24"/>
          <w:szCs w:val="24"/>
        </w:rPr>
        <w:t>es recettes d’exportation des produits d’origine artisanale représentent 19,77% de l’ensemble des recettes</w:t>
      </w:r>
      <w:r>
        <w:rPr>
          <w:rFonts w:ascii="Times New Roman" w:hAnsi="Times New Roman"/>
          <w:sz w:val="24"/>
          <w:szCs w:val="24"/>
        </w:rPr>
        <w:t xml:space="preserve"> des exportations</w:t>
      </w:r>
      <w:r w:rsidRPr="00FF7757">
        <w:rPr>
          <w:rFonts w:ascii="Times New Roman" w:hAnsi="Times New Roman"/>
          <w:sz w:val="24"/>
          <w:szCs w:val="24"/>
        </w:rPr>
        <w:t>. La différence, soit 80,23%, revient à l’or et le diamant de production industrielle dont une large part</w:t>
      </w:r>
      <w:r>
        <w:rPr>
          <w:rFonts w:ascii="Times New Roman" w:hAnsi="Times New Roman"/>
          <w:sz w:val="24"/>
          <w:szCs w:val="24"/>
        </w:rPr>
        <w:t xml:space="preserve"> est</w:t>
      </w:r>
      <w:r w:rsidRPr="00FF7757">
        <w:rPr>
          <w:rFonts w:ascii="Times New Roman" w:hAnsi="Times New Roman"/>
          <w:sz w:val="24"/>
          <w:szCs w:val="24"/>
        </w:rPr>
        <w:t xml:space="preserve"> couverte par l’or (79, 26%). </w:t>
      </w:r>
    </w:p>
    <w:p w14:paraId="634A2A25" w14:textId="691CCB0F" w:rsidR="00E54F1D" w:rsidRDefault="00E54F1D" w:rsidP="00E54F1D">
      <w:pPr>
        <w:jc w:val="both"/>
        <w:rPr>
          <w:rFonts w:ascii="Times New Roman" w:hAnsi="Times New Roman"/>
          <w:sz w:val="24"/>
          <w:szCs w:val="24"/>
        </w:rPr>
      </w:pPr>
      <w:r w:rsidRPr="00FF7757">
        <w:rPr>
          <w:rFonts w:ascii="Times New Roman" w:hAnsi="Times New Roman"/>
          <w:sz w:val="24"/>
          <w:szCs w:val="24"/>
        </w:rPr>
        <w:t>Enfin, à titre illustratif de la contribution de ce secteur dans l’emploi, SAEMAP Maniema a renseigné les données suivantes sur le nombre d’acteurs</w:t>
      </w:r>
      <w:r>
        <w:rPr>
          <w:rFonts w:ascii="Times New Roman" w:hAnsi="Times New Roman"/>
          <w:sz w:val="24"/>
          <w:szCs w:val="24"/>
        </w:rPr>
        <w:t>,</w:t>
      </w:r>
      <w:r w:rsidRPr="00FF7757">
        <w:rPr>
          <w:rFonts w:ascii="Times New Roman" w:hAnsi="Times New Roman"/>
          <w:sz w:val="24"/>
          <w:szCs w:val="24"/>
        </w:rPr>
        <w:t xml:space="preserve"> ventilés par sexe ainsi que  </w:t>
      </w:r>
      <w:r w:rsidR="00C607A5">
        <w:rPr>
          <w:rFonts w:ascii="Times New Roman" w:hAnsi="Times New Roman"/>
          <w:sz w:val="24"/>
          <w:szCs w:val="24"/>
        </w:rPr>
        <w:t>par</w:t>
      </w:r>
      <w:r w:rsidR="00C607A5" w:rsidRPr="00FF7757">
        <w:rPr>
          <w:rFonts w:ascii="Times New Roman" w:hAnsi="Times New Roman"/>
          <w:sz w:val="24"/>
          <w:szCs w:val="24"/>
        </w:rPr>
        <w:t xml:space="preserve"> </w:t>
      </w:r>
      <w:r w:rsidRPr="00FF7757">
        <w:rPr>
          <w:rFonts w:ascii="Times New Roman" w:hAnsi="Times New Roman"/>
          <w:sz w:val="24"/>
          <w:szCs w:val="24"/>
        </w:rPr>
        <w:t>sites opérationnels :</w:t>
      </w:r>
    </w:p>
    <w:tbl>
      <w:tblPr>
        <w:tblStyle w:val="TableauGrille1Clair1"/>
        <w:tblW w:w="10371" w:type="dxa"/>
        <w:tblLayout w:type="fixed"/>
        <w:tblLook w:val="04A0" w:firstRow="1" w:lastRow="0" w:firstColumn="1" w:lastColumn="0" w:noHBand="0" w:noVBand="1"/>
      </w:tblPr>
      <w:tblGrid>
        <w:gridCol w:w="936"/>
        <w:gridCol w:w="902"/>
        <w:gridCol w:w="851"/>
        <w:gridCol w:w="1139"/>
        <w:gridCol w:w="987"/>
        <w:gridCol w:w="851"/>
        <w:gridCol w:w="567"/>
        <w:gridCol w:w="708"/>
        <w:gridCol w:w="1163"/>
        <w:gridCol w:w="850"/>
        <w:gridCol w:w="1417"/>
      </w:tblGrid>
      <w:tr w:rsidR="00E54F1D" w:rsidRPr="0017564B" w14:paraId="0BA8ED2B" w14:textId="77777777" w:rsidTr="00943F6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89" w:type="dxa"/>
            <w:gridSpan w:val="3"/>
            <w:noWrap/>
            <w:vAlign w:val="center"/>
            <w:hideMark/>
          </w:tcPr>
          <w:p w14:paraId="2F3FAE53" w14:textId="77777777" w:rsidR="00E54F1D" w:rsidRPr="0017564B" w:rsidRDefault="00E54F1D" w:rsidP="00943F67">
            <w:pPr>
              <w:jc w:val="center"/>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Nature des sites</w:t>
            </w:r>
          </w:p>
        </w:tc>
        <w:tc>
          <w:tcPr>
            <w:tcW w:w="2977" w:type="dxa"/>
            <w:gridSpan w:val="3"/>
            <w:noWrap/>
            <w:vAlign w:val="center"/>
            <w:hideMark/>
          </w:tcPr>
          <w:p w14:paraId="390F7AAC"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Nombre d'artisanaux</w:t>
            </w:r>
          </w:p>
        </w:tc>
        <w:tc>
          <w:tcPr>
            <w:tcW w:w="3288" w:type="dxa"/>
            <w:gridSpan w:val="4"/>
            <w:noWrap/>
            <w:vAlign w:val="center"/>
            <w:hideMark/>
          </w:tcPr>
          <w:p w14:paraId="21E1EE21"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Nombre de négociants</w:t>
            </w:r>
          </w:p>
        </w:tc>
        <w:tc>
          <w:tcPr>
            <w:tcW w:w="1417" w:type="dxa"/>
            <w:vMerge w:val="restart"/>
            <w:vAlign w:val="center"/>
            <w:hideMark/>
          </w:tcPr>
          <w:p w14:paraId="73793310" w14:textId="77777777" w:rsidR="00E54F1D" w:rsidRPr="0017564B" w:rsidRDefault="00E54F1D"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fr-FR"/>
              </w:rPr>
            </w:pPr>
            <w:r w:rsidRPr="0017564B">
              <w:rPr>
                <w:rFonts w:ascii="Times New Roman" w:eastAsia="Times New Roman" w:hAnsi="Times New Roman"/>
                <w:sz w:val="24"/>
                <w:szCs w:val="24"/>
                <w:lang w:eastAsia="fr-FR"/>
              </w:rPr>
              <w:t>Total opérateurs</w:t>
            </w:r>
          </w:p>
        </w:tc>
      </w:tr>
      <w:tr w:rsidR="00943F67" w:rsidRPr="00943F67" w14:paraId="15E0876B" w14:textId="77777777" w:rsidTr="00943F67">
        <w:trPr>
          <w:trHeight w:val="516"/>
        </w:trPr>
        <w:tc>
          <w:tcPr>
            <w:cnfStyle w:val="001000000000" w:firstRow="0" w:lastRow="0" w:firstColumn="1" w:lastColumn="0" w:oddVBand="0" w:evenVBand="0" w:oddHBand="0" w:evenHBand="0" w:firstRowFirstColumn="0" w:firstRowLastColumn="0" w:lastRowFirstColumn="0" w:lastRowLastColumn="0"/>
            <w:tcW w:w="936" w:type="dxa"/>
            <w:noWrap/>
            <w:hideMark/>
          </w:tcPr>
          <w:p w14:paraId="6A9F43F0" w14:textId="77777777" w:rsidR="00E54F1D" w:rsidRPr="00943F67" w:rsidRDefault="00E54F1D" w:rsidP="00F000B0">
            <w:pPr>
              <w:jc w:val="center"/>
              <w:rPr>
                <w:rFonts w:ascii="Times New Roman" w:eastAsia="Times New Roman" w:hAnsi="Times New Roman"/>
                <w:b w:val="0"/>
                <w:color w:val="3B3838" w:themeColor="background2" w:themeShade="40"/>
                <w:sz w:val="24"/>
                <w:szCs w:val="24"/>
                <w:lang w:eastAsia="fr-FR"/>
              </w:rPr>
            </w:pPr>
            <w:r w:rsidRPr="00943F67">
              <w:rPr>
                <w:rFonts w:ascii="Times New Roman" w:eastAsia="Times New Roman" w:hAnsi="Times New Roman"/>
                <w:b w:val="0"/>
                <w:color w:val="3B3838" w:themeColor="background2" w:themeShade="40"/>
                <w:sz w:val="24"/>
                <w:szCs w:val="24"/>
                <w:lang w:eastAsia="fr-FR"/>
              </w:rPr>
              <w:t>Sites validés</w:t>
            </w:r>
          </w:p>
        </w:tc>
        <w:tc>
          <w:tcPr>
            <w:tcW w:w="902" w:type="dxa"/>
            <w:hideMark/>
          </w:tcPr>
          <w:p w14:paraId="7AFE4CAA"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Sites non validés</w:t>
            </w:r>
          </w:p>
        </w:tc>
        <w:tc>
          <w:tcPr>
            <w:tcW w:w="851" w:type="dxa"/>
            <w:noWrap/>
            <w:hideMark/>
          </w:tcPr>
          <w:p w14:paraId="08D006FA"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 sites</w:t>
            </w:r>
          </w:p>
        </w:tc>
        <w:tc>
          <w:tcPr>
            <w:tcW w:w="1139" w:type="dxa"/>
            <w:noWrap/>
            <w:hideMark/>
          </w:tcPr>
          <w:p w14:paraId="2FA869FB"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Homme</w:t>
            </w:r>
          </w:p>
        </w:tc>
        <w:tc>
          <w:tcPr>
            <w:tcW w:w="987" w:type="dxa"/>
            <w:noWrap/>
            <w:hideMark/>
          </w:tcPr>
          <w:p w14:paraId="6AF68EC2"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Femme</w:t>
            </w:r>
          </w:p>
        </w:tc>
        <w:tc>
          <w:tcPr>
            <w:tcW w:w="851" w:type="dxa"/>
            <w:hideMark/>
          </w:tcPr>
          <w:p w14:paraId="0FCF9ABF"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w:t>
            </w:r>
          </w:p>
        </w:tc>
        <w:tc>
          <w:tcPr>
            <w:tcW w:w="567" w:type="dxa"/>
            <w:noWrap/>
            <w:hideMark/>
          </w:tcPr>
          <w:p w14:paraId="2A704504"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Or</w:t>
            </w:r>
          </w:p>
        </w:tc>
        <w:tc>
          <w:tcPr>
            <w:tcW w:w="708" w:type="dxa"/>
            <w:noWrap/>
            <w:hideMark/>
          </w:tcPr>
          <w:p w14:paraId="301463B3"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3T</w:t>
            </w:r>
          </w:p>
        </w:tc>
        <w:tc>
          <w:tcPr>
            <w:tcW w:w="1163" w:type="dxa"/>
            <w:noWrap/>
            <w:hideMark/>
          </w:tcPr>
          <w:p w14:paraId="19419B2D"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Diamant</w:t>
            </w:r>
          </w:p>
        </w:tc>
        <w:tc>
          <w:tcPr>
            <w:tcW w:w="850" w:type="dxa"/>
            <w:hideMark/>
          </w:tcPr>
          <w:p w14:paraId="04EADC53" w14:textId="77777777" w:rsidR="00E54F1D" w:rsidRPr="00943F6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r w:rsidRPr="00943F67">
              <w:rPr>
                <w:rFonts w:ascii="Times New Roman" w:eastAsia="Times New Roman" w:hAnsi="Times New Roman"/>
                <w:color w:val="3B3838" w:themeColor="background2" w:themeShade="40"/>
                <w:sz w:val="24"/>
                <w:szCs w:val="24"/>
                <w:lang w:eastAsia="fr-FR"/>
              </w:rPr>
              <w:t>Total</w:t>
            </w:r>
          </w:p>
        </w:tc>
        <w:tc>
          <w:tcPr>
            <w:tcW w:w="1417" w:type="dxa"/>
            <w:vMerge/>
            <w:hideMark/>
          </w:tcPr>
          <w:p w14:paraId="411320DD" w14:textId="77777777" w:rsidR="00E54F1D" w:rsidRPr="00943F67" w:rsidRDefault="00E54F1D"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3B3838" w:themeColor="background2" w:themeShade="40"/>
                <w:sz w:val="24"/>
                <w:szCs w:val="24"/>
                <w:lang w:eastAsia="fr-FR"/>
              </w:rPr>
            </w:pPr>
          </w:p>
        </w:tc>
      </w:tr>
      <w:tr w:rsidR="00E54F1D" w:rsidRPr="00FF7757" w14:paraId="07C6B23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936" w:type="dxa"/>
            <w:noWrap/>
            <w:hideMark/>
          </w:tcPr>
          <w:p w14:paraId="61B7D223" w14:textId="77777777" w:rsidR="00E54F1D" w:rsidRPr="00FF7757" w:rsidRDefault="00E54F1D" w:rsidP="00F000B0">
            <w:pPr>
              <w:jc w:val="center"/>
              <w:rPr>
                <w:rFonts w:ascii="Times New Roman" w:eastAsia="Times New Roman" w:hAnsi="Times New Roman"/>
                <w:b w:val="0"/>
                <w:color w:val="000000"/>
                <w:sz w:val="24"/>
                <w:szCs w:val="24"/>
                <w:lang w:eastAsia="fr-FR"/>
              </w:rPr>
            </w:pPr>
            <w:r w:rsidRPr="00FF7757">
              <w:rPr>
                <w:rFonts w:ascii="Times New Roman" w:eastAsia="Times New Roman" w:hAnsi="Times New Roman"/>
                <w:b w:val="0"/>
                <w:color w:val="000000"/>
                <w:sz w:val="24"/>
                <w:szCs w:val="24"/>
                <w:lang w:eastAsia="fr-FR"/>
              </w:rPr>
              <w:t>50</w:t>
            </w:r>
          </w:p>
        </w:tc>
        <w:tc>
          <w:tcPr>
            <w:tcW w:w="902" w:type="dxa"/>
            <w:noWrap/>
            <w:hideMark/>
          </w:tcPr>
          <w:p w14:paraId="64056061"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263</w:t>
            </w:r>
          </w:p>
        </w:tc>
        <w:tc>
          <w:tcPr>
            <w:tcW w:w="851" w:type="dxa"/>
            <w:noWrap/>
            <w:hideMark/>
          </w:tcPr>
          <w:p w14:paraId="3D4F5702"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313</w:t>
            </w:r>
          </w:p>
        </w:tc>
        <w:tc>
          <w:tcPr>
            <w:tcW w:w="1139" w:type="dxa"/>
            <w:noWrap/>
            <w:hideMark/>
          </w:tcPr>
          <w:p w14:paraId="27C9C58A"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28933</w:t>
            </w:r>
          </w:p>
        </w:tc>
        <w:tc>
          <w:tcPr>
            <w:tcW w:w="987" w:type="dxa"/>
            <w:noWrap/>
            <w:hideMark/>
          </w:tcPr>
          <w:p w14:paraId="02AC027F"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3108</w:t>
            </w:r>
          </w:p>
        </w:tc>
        <w:tc>
          <w:tcPr>
            <w:tcW w:w="851" w:type="dxa"/>
            <w:noWrap/>
            <w:hideMark/>
          </w:tcPr>
          <w:p w14:paraId="1BE880E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32041</w:t>
            </w:r>
          </w:p>
        </w:tc>
        <w:tc>
          <w:tcPr>
            <w:tcW w:w="567" w:type="dxa"/>
            <w:noWrap/>
            <w:hideMark/>
          </w:tcPr>
          <w:p w14:paraId="41A6E62E"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92</w:t>
            </w:r>
          </w:p>
        </w:tc>
        <w:tc>
          <w:tcPr>
            <w:tcW w:w="708" w:type="dxa"/>
            <w:noWrap/>
            <w:hideMark/>
          </w:tcPr>
          <w:p w14:paraId="3AD95AA3"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160</w:t>
            </w:r>
          </w:p>
        </w:tc>
        <w:tc>
          <w:tcPr>
            <w:tcW w:w="1163" w:type="dxa"/>
            <w:noWrap/>
            <w:hideMark/>
          </w:tcPr>
          <w:p w14:paraId="3F76F695"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11</w:t>
            </w:r>
          </w:p>
        </w:tc>
        <w:tc>
          <w:tcPr>
            <w:tcW w:w="850" w:type="dxa"/>
            <w:noWrap/>
            <w:hideMark/>
          </w:tcPr>
          <w:p w14:paraId="51DE8406" w14:textId="77777777" w:rsidR="00E54F1D" w:rsidRPr="00FF7757" w:rsidRDefault="00E54F1D"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263</w:t>
            </w:r>
          </w:p>
        </w:tc>
        <w:tc>
          <w:tcPr>
            <w:tcW w:w="1417" w:type="dxa"/>
            <w:noWrap/>
            <w:hideMark/>
          </w:tcPr>
          <w:p w14:paraId="607BC879" w14:textId="77777777" w:rsidR="00E54F1D" w:rsidRPr="00FF7757" w:rsidRDefault="00E54F1D"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FF7757">
              <w:rPr>
                <w:rFonts w:ascii="Times New Roman" w:eastAsia="Times New Roman" w:hAnsi="Times New Roman"/>
                <w:color w:val="000000"/>
                <w:sz w:val="24"/>
                <w:szCs w:val="24"/>
                <w:lang w:eastAsia="fr-FR"/>
              </w:rPr>
              <w:t>32304</w:t>
            </w:r>
          </w:p>
        </w:tc>
      </w:tr>
    </w:tbl>
    <w:p w14:paraId="6CAE81F3" w14:textId="77777777" w:rsidR="00E54F1D" w:rsidRPr="0017564B" w:rsidRDefault="00E54F1D" w:rsidP="00E54F1D">
      <w:pPr>
        <w:jc w:val="both"/>
        <w:rPr>
          <w:rFonts w:ascii="Times New Roman" w:hAnsi="Times New Roman"/>
          <w:sz w:val="16"/>
          <w:szCs w:val="16"/>
        </w:rPr>
      </w:pPr>
      <w:r w:rsidRPr="0017564B">
        <w:rPr>
          <w:rFonts w:ascii="Times New Roman" w:hAnsi="Times New Roman"/>
          <w:sz w:val="16"/>
          <w:szCs w:val="16"/>
        </w:rPr>
        <w:t>Source : Statistiques SAEMAP, Direction provinciale du Maniema</w:t>
      </w:r>
    </w:p>
    <w:p w14:paraId="5D8B8309" w14:textId="77777777" w:rsidR="00F000B0" w:rsidRPr="008E2D55" w:rsidRDefault="00F000B0" w:rsidP="000668F9">
      <w:pPr>
        <w:pStyle w:val="Titre1"/>
        <w:numPr>
          <w:ilvl w:val="0"/>
          <w:numId w:val="4"/>
        </w:numPr>
        <w:ind w:left="426" w:hanging="425"/>
        <w:rPr>
          <w:rFonts w:ascii="Times New Roman" w:hAnsi="Times New Roman" w:cs="Times New Roman"/>
          <w:sz w:val="28"/>
          <w:szCs w:val="28"/>
        </w:rPr>
      </w:pPr>
      <w:bookmarkStart w:id="181" w:name="_Toc518468101"/>
      <w:r w:rsidRPr="008E2D55">
        <w:rPr>
          <w:rFonts w:ascii="Times New Roman" w:hAnsi="Times New Roman" w:cs="Times New Roman"/>
          <w:sz w:val="28"/>
          <w:szCs w:val="28"/>
        </w:rPr>
        <w:lastRenderedPageBreak/>
        <w:t>PARTICIPATION DE L’ETAT ET SITUATION SPECIFIQUE DES  EPE</w:t>
      </w:r>
      <w:bookmarkEnd w:id="181"/>
    </w:p>
    <w:p w14:paraId="4C2EE0A9" w14:textId="27A13DD0" w:rsidR="00F000B0" w:rsidRPr="00943F67" w:rsidRDefault="00553B37" w:rsidP="000738D3">
      <w:pPr>
        <w:pStyle w:val="Titre2"/>
        <w:numPr>
          <w:ilvl w:val="0"/>
          <w:numId w:val="54"/>
        </w:numPr>
        <w:jc w:val="center"/>
        <w:rPr>
          <w:rFonts w:ascii="Times New Roman" w:hAnsi="Times New Roman" w:cs="Times New Roman"/>
          <w:color w:val="3B3838" w:themeColor="background2" w:themeShade="40"/>
          <w:sz w:val="24"/>
          <w:szCs w:val="24"/>
        </w:rPr>
      </w:pPr>
      <w:bookmarkStart w:id="182" w:name="_Toc518468102"/>
      <w:r w:rsidRPr="00943F67">
        <w:rPr>
          <w:rFonts w:ascii="Times New Roman" w:hAnsi="Times New Roman" w:cs="Times New Roman"/>
          <w:caps w:val="0"/>
          <w:color w:val="3B3838" w:themeColor="background2" w:themeShade="40"/>
          <w:sz w:val="28"/>
          <w:szCs w:val="28"/>
        </w:rPr>
        <w:t>Considérations générales sur la participation de l’</w:t>
      </w:r>
      <w:r>
        <w:rPr>
          <w:rFonts w:ascii="Times New Roman" w:hAnsi="Times New Roman" w:cs="Times New Roman"/>
          <w:caps w:val="0"/>
          <w:color w:val="3B3838" w:themeColor="background2" w:themeShade="40"/>
          <w:sz w:val="28"/>
          <w:szCs w:val="28"/>
        </w:rPr>
        <w:t>E</w:t>
      </w:r>
      <w:r w:rsidRPr="00943F67">
        <w:rPr>
          <w:rFonts w:ascii="Times New Roman" w:hAnsi="Times New Roman" w:cs="Times New Roman"/>
          <w:caps w:val="0"/>
          <w:color w:val="3B3838" w:themeColor="background2" w:themeShade="40"/>
          <w:sz w:val="28"/>
          <w:szCs w:val="28"/>
        </w:rPr>
        <w:t>tat dans les industries extractives</w:t>
      </w:r>
      <w:r w:rsidRPr="00943F67">
        <w:rPr>
          <w:rFonts w:ascii="Times New Roman" w:hAnsi="Times New Roman" w:cs="Times New Roman"/>
          <w:caps w:val="0"/>
          <w:color w:val="3B3838" w:themeColor="background2" w:themeShade="40"/>
          <w:sz w:val="24"/>
          <w:szCs w:val="24"/>
        </w:rPr>
        <w:t>.</w:t>
      </w:r>
      <w:bookmarkEnd w:id="182"/>
    </w:p>
    <w:p w14:paraId="3D6D9EEB" w14:textId="6D03F61D"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3" w:name="_Toc518468103"/>
      <w:r>
        <w:rPr>
          <w:rFonts w:ascii="Times New Roman" w:hAnsi="Times New Roman" w:cs="Times New Roman"/>
          <w:sz w:val="24"/>
          <w:szCs w:val="24"/>
        </w:rPr>
        <w:t>IX</w:t>
      </w:r>
      <w:r w:rsidR="008E2D55" w:rsidRPr="00BC7A6E">
        <w:rPr>
          <w:rFonts w:ascii="Times New Roman" w:hAnsi="Times New Roman" w:cs="Times New Roman"/>
          <w:sz w:val="24"/>
          <w:szCs w:val="24"/>
        </w:rPr>
        <w:t xml:space="preserve">.1. </w:t>
      </w:r>
      <w:r w:rsidR="00BC7A6E" w:rsidRPr="00BC7A6E">
        <w:rPr>
          <w:rFonts w:ascii="Times New Roman" w:hAnsi="Times New Roman" w:cs="Times New Roman"/>
          <w:sz w:val="24"/>
          <w:szCs w:val="24"/>
        </w:rPr>
        <w:t>De la définition de l’e</w:t>
      </w:r>
      <w:r w:rsidR="00BC7A6E">
        <w:rPr>
          <w:rFonts w:ascii="Times New Roman" w:hAnsi="Times New Roman" w:cs="Times New Roman"/>
          <w:sz w:val="24"/>
          <w:szCs w:val="24"/>
        </w:rPr>
        <w:t>ntreprise du portefeuille de l’E</w:t>
      </w:r>
      <w:r w:rsidR="00BC7A6E" w:rsidRPr="00BC7A6E">
        <w:rPr>
          <w:rFonts w:ascii="Times New Roman" w:hAnsi="Times New Roman" w:cs="Times New Roman"/>
          <w:sz w:val="24"/>
          <w:szCs w:val="24"/>
        </w:rPr>
        <w:t>tat</w:t>
      </w:r>
      <w:bookmarkEnd w:id="183"/>
    </w:p>
    <w:p w14:paraId="317669F3"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La Loi n° 08/010 du 07 juillet 2008 fixant les règles relatives à l’organisation et à la gestion du portefeuille de l’Etat, précise en son article 2 qu’une entreprise publique est « toute entreprise du portefeuille de l’Etat dans laquelle l’Etat ou toute autre personne morale de droit public détient la totalité ou la majorité absolue du capital social »</w:t>
      </w:r>
      <w:r>
        <w:rPr>
          <w:rFonts w:ascii="Times New Roman" w:hAnsi="Times New Roman"/>
          <w:sz w:val="24"/>
          <w:szCs w:val="24"/>
        </w:rPr>
        <w:t xml:space="preserve">. </w:t>
      </w:r>
    </w:p>
    <w:p w14:paraId="26CB5B2E" w14:textId="77777777" w:rsidR="00F000B0" w:rsidRDefault="00F000B0" w:rsidP="00F000B0">
      <w:pPr>
        <w:ind w:left="284"/>
        <w:jc w:val="both"/>
        <w:rPr>
          <w:rFonts w:ascii="Times New Roman" w:hAnsi="Times New Roman"/>
          <w:sz w:val="24"/>
          <w:szCs w:val="24"/>
        </w:rPr>
      </w:pPr>
      <w:r w:rsidRPr="00AA5351">
        <w:rPr>
          <w:rFonts w:ascii="Times New Roman" w:hAnsi="Times New Roman"/>
          <w:sz w:val="24"/>
          <w:szCs w:val="24"/>
        </w:rPr>
        <w:t>Le même article définit une entreprise du portefeuille de l’Etat comme « toute société dans laquelle l’Etat ou toute autre personne morale de droit public détient la totalité du capital social ou une participation ».</w:t>
      </w:r>
    </w:p>
    <w:p w14:paraId="6275CDA0" w14:textId="77777777" w:rsidR="00F000B0" w:rsidRPr="001D0011" w:rsidRDefault="00F000B0" w:rsidP="00F000B0">
      <w:pPr>
        <w:ind w:left="284"/>
        <w:jc w:val="both"/>
        <w:rPr>
          <w:rFonts w:ascii="Times New Roman" w:hAnsi="Times New Roman"/>
          <w:sz w:val="24"/>
          <w:szCs w:val="24"/>
        </w:rPr>
      </w:pPr>
      <w:r w:rsidRPr="001D0011">
        <w:rPr>
          <w:rFonts w:ascii="Times New Roman" w:hAnsi="Times New Roman"/>
          <w:sz w:val="24"/>
          <w:szCs w:val="24"/>
        </w:rPr>
        <w:t xml:space="preserve">Enfin, ce même article  en son alinéa c.1 définit l’Etat comme  </w:t>
      </w:r>
      <w:r w:rsidRPr="00B072C9">
        <w:rPr>
          <w:rFonts w:ascii="Times New Roman" w:hAnsi="Times New Roman"/>
          <w:sz w:val="24"/>
          <w:szCs w:val="24"/>
        </w:rPr>
        <w:t>« </w:t>
      </w:r>
      <w:r w:rsidRPr="00B072C9">
        <w:rPr>
          <w:rFonts w:ascii="Times New Roman" w:hAnsi="Times New Roman"/>
          <w:color w:val="000000"/>
          <w:sz w:val="24"/>
          <w:szCs w:val="24"/>
        </w:rPr>
        <w:t>Etat-agent économique, dans sa forme globale comprenant le pouvoir central, la province et l’entité territoriale décentralisée, détenteur des titres, actions ou parts sociales.</w:t>
      </w:r>
      <w:r w:rsidRPr="00B072C9">
        <w:rPr>
          <w:rFonts w:ascii="Times New Roman" w:hAnsi="Times New Roman"/>
          <w:sz w:val="24"/>
          <w:szCs w:val="24"/>
        </w:rPr>
        <w:t> ».</w:t>
      </w:r>
    </w:p>
    <w:p w14:paraId="5C5E4BC4"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Ces dispositions sont en phase avec la Norme ITIE en son exigence 2.6 a) qui définit l’entreprise d’Etat comme étant « une entreprise qui est détenue exclusivement ou majoritairement par le Gouvernement</w:t>
      </w:r>
      <w:r>
        <w:rPr>
          <w:rFonts w:ascii="Times New Roman" w:hAnsi="Times New Roman"/>
          <w:sz w:val="24"/>
          <w:szCs w:val="24"/>
        </w:rPr>
        <w:t>, et qui est engagée dans des activités extractives pour le compte du gouvernement</w:t>
      </w:r>
      <w:r w:rsidRPr="00AA5351">
        <w:rPr>
          <w:rFonts w:ascii="Times New Roman" w:hAnsi="Times New Roman"/>
          <w:sz w:val="24"/>
          <w:szCs w:val="24"/>
        </w:rPr>
        <w:t>»</w:t>
      </w:r>
      <w:r>
        <w:rPr>
          <w:rFonts w:ascii="Times New Roman" w:hAnsi="Times New Roman"/>
          <w:sz w:val="24"/>
          <w:szCs w:val="24"/>
        </w:rPr>
        <w:t xml:space="preserve">. </w:t>
      </w:r>
      <w:r w:rsidRPr="00AA5351">
        <w:rPr>
          <w:rFonts w:ascii="Times New Roman" w:hAnsi="Times New Roman"/>
          <w:sz w:val="24"/>
          <w:szCs w:val="24"/>
        </w:rPr>
        <w:t xml:space="preserve">  </w:t>
      </w:r>
    </w:p>
    <w:p w14:paraId="288D7379"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Sur ces bases, neuf EPE extractives ont été retenues dans le périmètre ITIE 2016.  </w:t>
      </w:r>
    </w:p>
    <w:p w14:paraId="5593B78E" w14:textId="7547081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Il s’agit de GECAMINES, SODIMICO, SCMK-Mn, COMINIERE, SAKIMA, SOKIMO, MIBA et SACIM pour le secteur minier et de SONAH</w:t>
      </w:r>
      <w:r w:rsidR="00381D22">
        <w:rPr>
          <w:rFonts w:ascii="Times New Roman" w:hAnsi="Times New Roman"/>
          <w:sz w:val="24"/>
          <w:szCs w:val="24"/>
        </w:rPr>
        <w:t>Y</w:t>
      </w:r>
      <w:r w:rsidRPr="00AA5351">
        <w:rPr>
          <w:rFonts w:ascii="Times New Roman" w:hAnsi="Times New Roman"/>
          <w:sz w:val="24"/>
          <w:szCs w:val="24"/>
        </w:rPr>
        <w:t>DROC pour le secteur pétrolier.</w:t>
      </w:r>
    </w:p>
    <w:p w14:paraId="1A7B523D" w14:textId="6ACBF7A0" w:rsidR="00C47879" w:rsidRDefault="002F7F99" w:rsidP="002F7F99">
      <w:pPr>
        <w:pStyle w:val="Paragraphedeliste"/>
        <w:ind w:left="284"/>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6432" behindDoc="0" locked="0" layoutInCell="1" allowOverlap="1" wp14:anchorId="2DE7B242" wp14:editId="125CCDB7">
                <wp:simplePos x="0" y="0"/>
                <wp:positionH relativeFrom="column">
                  <wp:posOffset>153558</wp:posOffset>
                </wp:positionH>
                <wp:positionV relativeFrom="paragraph">
                  <wp:posOffset>109780</wp:posOffset>
                </wp:positionV>
                <wp:extent cx="5950323" cy="2707341"/>
                <wp:effectExtent l="0" t="0" r="12700" b="17145"/>
                <wp:wrapNone/>
                <wp:docPr id="18" name="Zone de texte 18"/>
                <wp:cNvGraphicFramePr/>
                <a:graphic xmlns:a="http://schemas.openxmlformats.org/drawingml/2006/main">
                  <a:graphicData uri="http://schemas.microsoft.com/office/word/2010/wordprocessingShape">
                    <wps:wsp>
                      <wps:cNvSpPr txBox="1"/>
                      <wps:spPr>
                        <a:xfrm>
                          <a:off x="0" y="0"/>
                          <a:ext cx="5950323" cy="2707341"/>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008E86A" w14:textId="77777777" w:rsidR="00553BF2" w:rsidRPr="002F7F99" w:rsidRDefault="00553BF2"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b/>
                                <w:sz w:val="24"/>
                                <w:szCs w:val="24"/>
                              </w:rPr>
                              <w:t>Note</w:t>
                            </w:r>
                            <w:r w:rsidRPr="002F7F99">
                              <w:rPr>
                                <w:rFonts w:ascii="Times New Roman" w:hAnsi="Times New Roman" w:cs="Times New Roman"/>
                                <w:sz w:val="24"/>
                                <w:szCs w:val="24"/>
                              </w:rPr>
                              <w:t xml:space="preserve"> : </w:t>
                            </w:r>
                          </w:p>
                          <w:p w14:paraId="2D90A7A1" w14:textId="25864EBE" w:rsidR="00553BF2" w:rsidRPr="002F7F99" w:rsidRDefault="00553BF2" w:rsidP="002F7F99">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w:t>
                            </w:r>
                            <w:r w:rsidRPr="002F7F99">
                              <w:rPr>
                                <w:rFonts w:ascii="Times New Roman" w:hAnsi="Times New Roman" w:cs="Times New Roman"/>
                                <w:sz w:val="24"/>
                                <w:szCs w:val="24"/>
                              </w:rPr>
                              <w:t xml:space="preserve">’entreprise SIMCO est détenue par la GECAMINES (99%) et SCMK-Mn(1%), deux EPE devenues des personnes morales de droits privés à la suite des Loi n° 08/007 du 07 juillet 2008 portant dispositions générales relatives à la transformation des entreprises publiques et Loi n° 08/010 du 07 juillet 2008 fixant les règles relatives à l’organisation et à la gestion du portefeuille de l’Etat. A l’analyse de ces lois et de la situation des participations transmise par le Ministère du Portefeuille, il s’avère que SIMCO ne peut être considérée comme une EPE. </w:t>
                            </w:r>
                          </w:p>
                          <w:p w14:paraId="217BA448" w14:textId="4FCEC3B9" w:rsidR="00553BF2" w:rsidRPr="002F7F99" w:rsidRDefault="00553BF2"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sz w:val="24"/>
                                <w:szCs w:val="24"/>
                              </w:rPr>
                              <w:t>En effet, SIMCO n’est ni directement détenue par l’Etat ou par une personne morale de droit public et encore moins une propriété exclusive ou majoritaire de ces derniers  pour rencontrer la définition d’une EPE  précisée par l’article 2</w:t>
                            </w:r>
                            <w:r w:rsidRPr="002F7F99">
                              <w:t xml:space="preserve"> de la Loi n°08</w:t>
                            </w:r>
                            <w:r w:rsidRPr="002F7F99">
                              <w:rPr>
                                <w:rFonts w:ascii="Times New Roman" w:hAnsi="Times New Roman" w:cs="Times New Roman"/>
                              </w:rPr>
                              <w:t xml:space="preserve">/010 du 07 juillet 2008. En conséquence, </w:t>
                            </w:r>
                            <w:r w:rsidR="00E66638">
                              <w:rPr>
                                <w:rFonts w:ascii="Times New Roman" w:hAnsi="Times New Roman" w:cs="Times New Roman"/>
                              </w:rPr>
                              <w:t xml:space="preserve">depuis le </w:t>
                            </w:r>
                            <w:r w:rsidR="00E66638" w:rsidRPr="002F7F99">
                              <w:rPr>
                                <w:rFonts w:ascii="Times New Roman" w:hAnsi="Times New Roman" w:cs="Times New Roman"/>
                              </w:rPr>
                              <w:t xml:space="preserve">Rapport ITIE-RDC </w:t>
                            </w:r>
                            <w:r w:rsidR="00E66638">
                              <w:rPr>
                                <w:rFonts w:ascii="Times New Roman" w:hAnsi="Times New Roman" w:cs="Times New Roman"/>
                              </w:rPr>
                              <w:t xml:space="preserve">2013, </w:t>
                            </w:r>
                            <w:r w:rsidRPr="002F7F99">
                              <w:rPr>
                                <w:rFonts w:ascii="Times New Roman" w:hAnsi="Times New Roman" w:cs="Times New Roman"/>
                              </w:rPr>
                              <w:t xml:space="preserve">SIMCO </w:t>
                            </w:r>
                            <w:r w:rsidR="00E66638">
                              <w:rPr>
                                <w:rFonts w:ascii="Times New Roman" w:hAnsi="Times New Roman" w:cs="Times New Roman"/>
                              </w:rPr>
                              <w:t>n’est plus</w:t>
                            </w:r>
                            <w:r w:rsidRPr="002F7F99">
                              <w:rPr>
                                <w:rFonts w:ascii="Times New Roman" w:hAnsi="Times New Roman" w:cs="Times New Roman"/>
                              </w:rPr>
                              <w:t xml:space="preserve"> considérée comme une</w:t>
                            </w:r>
                            <w:r w:rsidR="00E66638">
                              <w:rPr>
                                <w:rFonts w:ascii="Times New Roman" w:hAnsi="Times New Roman" w:cs="Times New Roman"/>
                              </w:rPr>
                              <w:t xml:space="preserve"> entreprise faisant partie du portefeuille de l’Etat au sens des articles précités</w:t>
                            </w:r>
                            <w:r w:rsidRPr="002F7F99">
                              <w:rPr>
                                <w:rFonts w:ascii="Times New Roman" w:hAnsi="Times New Roman" w:cs="Times New Roman"/>
                              </w:rPr>
                              <w:t>. Toutefois, en raison de ses participations dans les entreprises extractives (KCC et SICOMINES), elle a été retenue dans le périmètre de conciliation ITIE-RDC 2016.</w:t>
                            </w:r>
                            <w:r w:rsidRPr="002F7F99">
                              <w:rPr>
                                <w:rFonts w:ascii="Times New Roman" w:hAnsi="Times New Roman" w:cs="Times New Roman"/>
                                <w:sz w:val="24"/>
                                <w:szCs w:val="24"/>
                              </w:rPr>
                              <w:t xml:space="preserve"> </w:t>
                            </w:r>
                          </w:p>
                          <w:p w14:paraId="7AED61B5" w14:textId="77777777" w:rsidR="00553BF2" w:rsidRDefault="00553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B242" id="Zone de texte 18" o:spid="_x0000_s1036" type="#_x0000_t202" style="position:absolute;left:0;text-align:left;margin-left:12.1pt;margin-top:8.65pt;width:468.55pt;height:2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" fillcolor="#fff2cc [663]" strokecolor="#fff2cc [663]" strokeweight=".5pt">
                <v:textbox>
                  <w:txbxContent>
                    <w:p w14:paraId="4008E86A" w14:textId="77777777" w:rsidR="00553BF2" w:rsidRPr="002F7F99" w:rsidRDefault="00553BF2"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b/>
                          <w:sz w:val="24"/>
                          <w:szCs w:val="24"/>
                        </w:rPr>
                        <w:t>Note</w:t>
                      </w:r>
                      <w:r w:rsidRPr="002F7F99">
                        <w:rPr>
                          <w:rFonts w:ascii="Times New Roman" w:hAnsi="Times New Roman" w:cs="Times New Roman"/>
                          <w:sz w:val="24"/>
                          <w:szCs w:val="24"/>
                        </w:rPr>
                        <w:t xml:space="preserve"> : </w:t>
                      </w:r>
                    </w:p>
                    <w:p w14:paraId="2D90A7A1" w14:textId="25864EBE" w:rsidR="00553BF2" w:rsidRPr="002F7F99" w:rsidRDefault="00553BF2" w:rsidP="002F7F99">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w:t>
                      </w:r>
                      <w:r w:rsidRPr="002F7F99">
                        <w:rPr>
                          <w:rFonts w:ascii="Times New Roman" w:hAnsi="Times New Roman" w:cs="Times New Roman"/>
                          <w:sz w:val="24"/>
                          <w:szCs w:val="24"/>
                        </w:rPr>
                        <w:t xml:space="preserve">’entreprise SIMCO est détenue par la GECAMINES (99%) et SCMK-Mn(1%), deux EPE devenues des personnes morales de droits privés à la suite des Loi n° 08/007 du 07 juillet 2008 portant dispositions générales relatives à la transformation des entreprises publiques et Loi n° 08/010 du 07 juillet 2008 fixant les règles relatives à l’organisation et à la gestion du portefeuille de l’Etat. A l’analyse de ces lois et de la situation des participations transmise par le Ministère du Portefeuille, il s’avère que SIMCO ne peut être considérée comme une EPE. </w:t>
                      </w:r>
                    </w:p>
                    <w:p w14:paraId="217BA448" w14:textId="4FCEC3B9" w:rsidR="00553BF2" w:rsidRPr="002F7F99" w:rsidRDefault="00553BF2" w:rsidP="002F7F99">
                      <w:pPr>
                        <w:pStyle w:val="Paragraphedeliste"/>
                        <w:ind w:left="0"/>
                        <w:jc w:val="both"/>
                        <w:rPr>
                          <w:rFonts w:ascii="Times New Roman" w:hAnsi="Times New Roman" w:cs="Times New Roman"/>
                          <w:sz w:val="24"/>
                          <w:szCs w:val="24"/>
                        </w:rPr>
                      </w:pPr>
                      <w:r w:rsidRPr="002F7F99">
                        <w:rPr>
                          <w:rFonts w:ascii="Times New Roman" w:hAnsi="Times New Roman" w:cs="Times New Roman"/>
                          <w:sz w:val="24"/>
                          <w:szCs w:val="24"/>
                        </w:rPr>
                        <w:t>En effet, SIMCO n’est ni directement détenue par l’Etat ou par une personne morale de droit public et encore moins une propriété exclusive ou majoritaire de ces derniers  pour rencontrer la définition d’une EPE  précisée par l’article 2</w:t>
                      </w:r>
                      <w:r w:rsidRPr="002F7F99">
                        <w:t xml:space="preserve"> de la Loi n°08</w:t>
                      </w:r>
                      <w:r w:rsidRPr="002F7F99">
                        <w:rPr>
                          <w:rFonts w:ascii="Times New Roman" w:hAnsi="Times New Roman" w:cs="Times New Roman"/>
                        </w:rPr>
                        <w:t xml:space="preserve">/010 du 07 juillet 2008. En conséquence, </w:t>
                      </w:r>
                      <w:r w:rsidR="00E66638">
                        <w:rPr>
                          <w:rFonts w:ascii="Times New Roman" w:hAnsi="Times New Roman" w:cs="Times New Roman"/>
                        </w:rPr>
                        <w:t xml:space="preserve">depuis le </w:t>
                      </w:r>
                      <w:r w:rsidR="00E66638" w:rsidRPr="002F7F99">
                        <w:rPr>
                          <w:rFonts w:ascii="Times New Roman" w:hAnsi="Times New Roman" w:cs="Times New Roman"/>
                        </w:rPr>
                        <w:t xml:space="preserve">Rapport ITIE-RDC </w:t>
                      </w:r>
                      <w:r w:rsidR="00E66638">
                        <w:rPr>
                          <w:rFonts w:ascii="Times New Roman" w:hAnsi="Times New Roman" w:cs="Times New Roman"/>
                        </w:rPr>
                        <w:t xml:space="preserve">2013, </w:t>
                      </w:r>
                      <w:r w:rsidRPr="002F7F99">
                        <w:rPr>
                          <w:rFonts w:ascii="Times New Roman" w:hAnsi="Times New Roman" w:cs="Times New Roman"/>
                        </w:rPr>
                        <w:t xml:space="preserve">SIMCO </w:t>
                      </w:r>
                      <w:r w:rsidR="00E66638">
                        <w:rPr>
                          <w:rFonts w:ascii="Times New Roman" w:hAnsi="Times New Roman" w:cs="Times New Roman"/>
                        </w:rPr>
                        <w:t>n’est plus</w:t>
                      </w:r>
                      <w:r w:rsidRPr="002F7F99">
                        <w:rPr>
                          <w:rFonts w:ascii="Times New Roman" w:hAnsi="Times New Roman" w:cs="Times New Roman"/>
                        </w:rPr>
                        <w:t xml:space="preserve"> considérée comme une</w:t>
                      </w:r>
                      <w:r w:rsidR="00E66638">
                        <w:rPr>
                          <w:rFonts w:ascii="Times New Roman" w:hAnsi="Times New Roman" w:cs="Times New Roman"/>
                        </w:rPr>
                        <w:t xml:space="preserve"> entreprise faisant partie du portefeuille de l’Etat au sens des articles précités</w:t>
                      </w:r>
                      <w:r w:rsidRPr="002F7F99">
                        <w:rPr>
                          <w:rFonts w:ascii="Times New Roman" w:hAnsi="Times New Roman" w:cs="Times New Roman"/>
                        </w:rPr>
                        <w:t>. Toutefois, en raison de ses participations dans les entreprises extractives (KCC et SICOMINES), elle a été retenue dans le périmètre de conciliation ITIE-RDC 2016.</w:t>
                      </w:r>
                      <w:r w:rsidRPr="002F7F99">
                        <w:rPr>
                          <w:rFonts w:ascii="Times New Roman" w:hAnsi="Times New Roman" w:cs="Times New Roman"/>
                          <w:sz w:val="24"/>
                          <w:szCs w:val="24"/>
                        </w:rPr>
                        <w:t xml:space="preserve"> </w:t>
                      </w:r>
                    </w:p>
                    <w:p w14:paraId="7AED61B5" w14:textId="77777777" w:rsidR="00553BF2" w:rsidRDefault="00553BF2"/>
                  </w:txbxContent>
                </v:textbox>
              </v:shape>
            </w:pict>
          </mc:Fallback>
        </mc:AlternateContent>
      </w:r>
    </w:p>
    <w:p w14:paraId="21AC6B2C" w14:textId="4EB9FABB" w:rsidR="002A7B79" w:rsidRDefault="002A7B79">
      <w:pPr>
        <w:rPr>
          <w:rFonts w:ascii="Times New Roman" w:eastAsiaTheme="minorHAnsi" w:hAnsi="Times New Roman"/>
          <w:sz w:val="24"/>
          <w:szCs w:val="24"/>
        </w:rPr>
      </w:pPr>
      <w:r>
        <w:rPr>
          <w:rFonts w:ascii="Times New Roman" w:hAnsi="Times New Roman"/>
          <w:sz w:val="24"/>
          <w:szCs w:val="24"/>
        </w:rPr>
        <w:br w:type="page"/>
      </w:r>
    </w:p>
    <w:p w14:paraId="6E9839E5" w14:textId="631BD02C"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4" w:name="_Toc518468104"/>
      <w:r>
        <w:rPr>
          <w:rFonts w:ascii="Times New Roman" w:hAnsi="Times New Roman" w:cs="Times New Roman"/>
          <w:sz w:val="24"/>
          <w:szCs w:val="24"/>
        </w:rPr>
        <w:lastRenderedPageBreak/>
        <w:t>IX</w:t>
      </w:r>
      <w:r w:rsidR="00943F67" w:rsidRPr="00BC7A6E">
        <w:rPr>
          <w:rFonts w:ascii="Times New Roman" w:hAnsi="Times New Roman" w:cs="Times New Roman"/>
          <w:sz w:val="24"/>
          <w:szCs w:val="24"/>
        </w:rPr>
        <w:t xml:space="preserve">.2. </w:t>
      </w:r>
      <w:r w:rsidR="00BC7A6E" w:rsidRPr="00BC7A6E">
        <w:rPr>
          <w:rFonts w:ascii="Times New Roman" w:hAnsi="Times New Roman" w:cs="Times New Roman"/>
          <w:sz w:val="24"/>
          <w:szCs w:val="24"/>
        </w:rPr>
        <w:t>Du cadre légal et règlementaire</w:t>
      </w:r>
      <w:r w:rsidR="00BC7A6E">
        <w:rPr>
          <w:rFonts w:ascii="Times New Roman" w:hAnsi="Times New Roman" w:cs="Times New Roman"/>
          <w:sz w:val="24"/>
          <w:szCs w:val="24"/>
        </w:rPr>
        <w:t xml:space="preserve"> de la participation de l’E</w:t>
      </w:r>
      <w:r w:rsidR="00BC7A6E" w:rsidRPr="00BC7A6E">
        <w:rPr>
          <w:rFonts w:ascii="Times New Roman" w:hAnsi="Times New Roman" w:cs="Times New Roman"/>
          <w:sz w:val="24"/>
          <w:szCs w:val="24"/>
        </w:rPr>
        <w:t>tat</w:t>
      </w:r>
      <w:bookmarkEnd w:id="184"/>
    </w:p>
    <w:p w14:paraId="60F1E7E5" w14:textId="77777777" w:rsidR="00F000B0" w:rsidRPr="00AA5351" w:rsidRDefault="00F000B0" w:rsidP="00F000B0">
      <w:pPr>
        <w:spacing w:after="120"/>
        <w:ind w:left="426"/>
        <w:jc w:val="both"/>
        <w:rPr>
          <w:rFonts w:ascii="Times New Roman" w:hAnsi="Times New Roman"/>
          <w:sz w:val="24"/>
          <w:szCs w:val="24"/>
        </w:rPr>
      </w:pPr>
      <w:r w:rsidRPr="00AA5351">
        <w:rPr>
          <w:rFonts w:ascii="Times New Roman" w:hAnsi="Times New Roman"/>
          <w:sz w:val="24"/>
          <w:szCs w:val="24"/>
        </w:rPr>
        <w:t xml:space="preserve">La participation de l’Etat dans les Entreprises du portefeuille de l’Etat (EPE) et dans les entreprises extractives privées est organisée par les Lois et Règlements ci-après :  </w:t>
      </w:r>
    </w:p>
    <w:p w14:paraId="3B5A3700" w14:textId="77777777" w:rsidR="00F000B0" w:rsidRPr="00AA5351" w:rsidRDefault="00F000B0" w:rsidP="000738D3">
      <w:pPr>
        <w:pStyle w:val="Paragraphedeliste"/>
        <w:numPr>
          <w:ilvl w:val="0"/>
          <w:numId w:val="45"/>
        </w:numPr>
        <w:spacing w:before="12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08/007 du 07 juillet 2008 portant dispositions générales relatives à la transformation des entreprises publiques ;</w:t>
      </w:r>
    </w:p>
    <w:p w14:paraId="0EFCC9A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08/008 du 07 juillet 2008 portant dispositions générales relatives au désengagement de l’Etat des entreprises du portefeuille ;</w:t>
      </w:r>
    </w:p>
    <w:p w14:paraId="12D1C10D"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08/009 du 07 juillet 2008 portant dispositions générales applicables aux établissements publics ;</w:t>
      </w:r>
    </w:p>
    <w:p w14:paraId="13E7C2FA"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Loi n° 08/010 du 07 juillet 2008 fixant les règles relatives à l’organisation et à la gestion du portefeuille de l’Etat ;</w:t>
      </w:r>
    </w:p>
    <w:p w14:paraId="3D2FAD96"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 Loi 15/012 du 1er aout 2015 portant régime général des Hydrocarbure</w:t>
      </w:r>
      <w:r>
        <w:rPr>
          <w:rFonts w:ascii="Times New Roman" w:hAnsi="Times New Roman" w:cs="Times New Roman"/>
          <w:sz w:val="24"/>
          <w:szCs w:val="24"/>
        </w:rPr>
        <w:t>s</w:t>
      </w:r>
      <w:r w:rsidRPr="00AA5351">
        <w:rPr>
          <w:rFonts w:ascii="Times New Roman" w:hAnsi="Times New Roman" w:cs="Times New Roman"/>
          <w:sz w:val="24"/>
          <w:szCs w:val="24"/>
        </w:rPr>
        <w:t xml:space="preserve">  qui  prévoit en ses articles 16 et  17 la participation de la société nationale des hydrocarbures  minimum 20%  au minimum en cas d’association dans les activités d’hydrocarbures en amont. Les parts de la société nationale ne sont pas cessibles ;</w:t>
      </w:r>
    </w:p>
    <w:p w14:paraId="6923393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 Loi 18/001 du 09/03/2018 modifiant et complétant la Loi n°007/2002 du 11 juillet 2002 portant Code Minier qui relève de 5 à 10%  la part  de l’Etat dans les entreprises privées minières à l’occasion de la transformation d’un permis de recherche en permis d’exploitation ;</w:t>
      </w:r>
    </w:p>
    <w:p w14:paraId="0757F2FE"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Décret n° 13/003 du 15 janvier 2013 relatif aux conditions et modalités de cession des parts sociales ou actions de l'Etat aux personnes physiques ou morales de nationalité congolaise et/ou aux salariés ;</w:t>
      </w:r>
    </w:p>
    <w:p w14:paraId="5411AA3A" w14:textId="77777777" w:rsidR="00F000B0" w:rsidRPr="00AA5351" w:rsidRDefault="00F000B0" w:rsidP="000738D3">
      <w:pPr>
        <w:pStyle w:val="Paragraphedeliste"/>
        <w:numPr>
          <w:ilvl w:val="0"/>
          <w:numId w:val="45"/>
        </w:numPr>
        <w:spacing w:before="60" w:after="60"/>
        <w:ind w:left="1134"/>
        <w:contextualSpacing w:val="0"/>
        <w:jc w:val="both"/>
        <w:rPr>
          <w:rFonts w:ascii="Times New Roman" w:hAnsi="Times New Roman" w:cs="Times New Roman"/>
          <w:sz w:val="24"/>
          <w:szCs w:val="24"/>
        </w:rPr>
      </w:pPr>
      <w:r w:rsidRPr="00AA5351">
        <w:rPr>
          <w:rFonts w:ascii="Times New Roman" w:hAnsi="Times New Roman" w:cs="Times New Roman"/>
          <w:sz w:val="24"/>
          <w:szCs w:val="24"/>
        </w:rPr>
        <w:t xml:space="preserve">Décret n° 13/002 du 15 janvier 2013 portant organisation de la représentation de l'Etat-actionnaire unique au sein de l'Assemblée Générale d'une entreprise publique transformée en société commerciale. </w:t>
      </w:r>
    </w:p>
    <w:p w14:paraId="44BC5680" w14:textId="77777777" w:rsidR="00F000B0" w:rsidRPr="00AA5351" w:rsidRDefault="00F000B0" w:rsidP="00F000B0">
      <w:pPr>
        <w:pStyle w:val="Paragraphedeliste"/>
        <w:spacing w:before="60" w:after="60" w:line="240" w:lineRule="auto"/>
        <w:ind w:left="426"/>
        <w:contextualSpacing w:val="0"/>
        <w:jc w:val="both"/>
        <w:rPr>
          <w:rFonts w:ascii="Times New Roman" w:hAnsi="Times New Roman" w:cs="Times New Roman"/>
          <w:sz w:val="24"/>
          <w:szCs w:val="24"/>
        </w:rPr>
      </w:pPr>
      <w:r w:rsidRPr="00AA5351">
        <w:rPr>
          <w:rFonts w:ascii="Times New Roman" w:hAnsi="Times New Roman" w:cs="Times New Roman"/>
          <w:sz w:val="24"/>
          <w:szCs w:val="24"/>
        </w:rPr>
        <w:t>A ces instruments il faut ajouter également le Statut, le Règlement Intérieur propre à chaque EPE ainsi que les Instructions de la tutelle assumée par le Ministère de Portefeuille.</w:t>
      </w:r>
    </w:p>
    <w:p w14:paraId="084F47C4" w14:textId="77777777" w:rsidR="00F000B0" w:rsidRPr="00AA5351" w:rsidRDefault="00F000B0" w:rsidP="00F000B0">
      <w:pPr>
        <w:pStyle w:val="Paragraphedeliste"/>
        <w:spacing w:before="60" w:after="60" w:line="240" w:lineRule="auto"/>
        <w:ind w:left="714"/>
        <w:contextualSpacing w:val="0"/>
        <w:jc w:val="both"/>
        <w:rPr>
          <w:rFonts w:ascii="Times New Roman" w:hAnsi="Times New Roman" w:cs="Times New Roman"/>
          <w:sz w:val="24"/>
          <w:szCs w:val="24"/>
        </w:rPr>
      </w:pPr>
    </w:p>
    <w:p w14:paraId="6480E6D1" w14:textId="5EC1BDCE"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5" w:name="_Toc518468105"/>
      <w:r>
        <w:rPr>
          <w:rFonts w:ascii="Times New Roman" w:hAnsi="Times New Roman" w:cs="Times New Roman"/>
          <w:sz w:val="24"/>
          <w:szCs w:val="24"/>
        </w:rPr>
        <w:t>IX</w:t>
      </w:r>
      <w:r w:rsidR="00943F67" w:rsidRPr="00BC7A6E">
        <w:rPr>
          <w:rFonts w:ascii="Times New Roman" w:hAnsi="Times New Roman" w:cs="Times New Roman"/>
          <w:sz w:val="24"/>
          <w:szCs w:val="24"/>
        </w:rPr>
        <w:t xml:space="preserve">.3. </w:t>
      </w:r>
      <w:r w:rsidR="00BC7A6E" w:rsidRPr="00BC7A6E">
        <w:rPr>
          <w:rFonts w:ascii="Times New Roman" w:hAnsi="Times New Roman" w:cs="Times New Roman"/>
          <w:sz w:val="24"/>
          <w:szCs w:val="24"/>
        </w:rPr>
        <w:t xml:space="preserve">Du régime fiscal  et du statut des </w:t>
      </w:r>
      <w:r w:rsidR="00BC7A6E">
        <w:rPr>
          <w:rFonts w:ascii="Times New Roman" w:hAnsi="Times New Roman" w:cs="Times New Roman"/>
          <w:sz w:val="24"/>
          <w:szCs w:val="24"/>
        </w:rPr>
        <w:t>EPE</w:t>
      </w:r>
      <w:r w:rsidR="00BC7A6E" w:rsidRPr="00BC7A6E">
        <w:rPr>
          <w:rFonts w:ascii="Times New Roman" w:hAnsi="Times New Roman" w:cs="Times New Roman"/>
          <w:sz w:val="24"/>
          <w:szCs w:val="24"/>
        </w:rPr>
        <w:t xml:space="preserve">  extractives</w:t>
      </w:r>
      <w:bookmarkEnd w:id="185"/>
    </w:p>
    <w:p w14:paraId="4023DE1B" w14:textId="77777777" w:rsidR="00F000B0" w:rsidRPr="00AA5351" w:rsidRDefault="00F000B0" w:rsidP="00F000B0">
      <w:pPr>
        <w:spacing w:after="120"/>
        <w:ind w:left="284"/>
        <w:jc w:val="both"/>
        <w:rPr>
          <w:rFonts w:ascii="Times New Roman" w:hAnsi="Times New Roman"/>
          <w:sz w:val="24"/>
          <w:szCs w:val="24"/>
        </w:rPr>
      </w:pPr>
      <w:r w:rsidRPr="00AA5351">
        <w:rPr>
          <w:rFonts w:ascii="Times New Roman" w:hAnsi="Times New Roman"/>
          <w:sz w:val="24"/>
          <w:szCs w:val="24"/>
        </w:rPr>
        <w:t>En vertu de la Loi n° 08/007 du 7 juillet 2008 portant dispositions générales relatives à la transformation des entreprises publiques et de la Loi n° 08/008 du 07 juillet 2008 portant dispositions générales relatives au désengagement de l’Etat des entreprises du portefeuille, les EPE extractives se sont transformées en sociétés commerciales</w:t>
      </w:r>
      <w:r>
        <w:rPr>
          <w:rStyle w:val="Appelnotedebasdep"/>
          <w:rFonts w:ascii="Times New Roman" w:hAnsi="Times New Roman"/>
          <w:sz w:val="24"/>
          <w:szCs w:val="24"/>
        </w:rPr>
        <w:footnoteReference w:id="26"/>
      </w:r>
      <w:r w:rsidRPr="00AA5351">
        <w:rPr>
          <w:rFonts w:ascii="Times New Roman" w:hAnsi="Times New Roman"/>
          <w:sz w:val="24"/>
          <w:szCs w:val="24"/>
        </w:rPr>
        <w:t xml:space="preserve">. En principe, leur mode de gestion est de type commercial quoique </w:t>
      </w:r>
      <w:r w:rsidR="002B425B">
        <w:rPr>
          <w:rFonts w:ascii="Times New Roman" w:hAnsi="Times New Roman"/>
          <w:sz w:val="24"/>
          <w:szCs w:val="24"/>
        </w:rPr>
        <w:t>six</w:t>
      </w:r>
      <w:r w:rsidR="002B425B">
        <w:rPr>
          <w:rStyle w:val="Appelnotedebasdep"/>
          <w:rFonts w:ascii="Times New Roman" w:hAnsi="Times New Roman"/>
          <w:sz w:val="24"/>
          <w:szCs w:val="24"/>
        </w:rPr>
        <w:footnoteReference w:id="27"/>
      </w:r>
      <w:r w:rsidRPr="00AA5351">
        <w:rPr>
          <w:rFonts w:ascii="Times New Roman" w:hAnsi="Times New Roman"/>
          <w:sz w:val="24"/>
          <w:szCs w:val="24"/>
        </w:rPr>
        <w:t xml:space="preserve"> d’entre elles soi</w:t>
      </w:r>
      <w:r w:rsidR="002B425B">
        <w:rPr>
          <w:rFonts w:ascii="Times New Roman" w:hAnsi="Times New Roman"/>
          <w:sz w:val="24"/>
          <w:szCs w:val="24"/>
        </w:rPr>
        <w:t>en</w:t>
      </w:r>
      <w:r w:rsidRPr="00AA5351">
        <w:rPr>
          <w:rFonts w:ascii="Times New Roman" w:hAnsi="Times New Roman"/>
          <w:sz w:val="24"/>
          <w:szCs w:val="24"/>
        </w:rPr>
        <w:t>t exclusivement détenues par l’Etat.  Ainsi, devenues  personnes morales  de droit privé, elles sont soumises  à la règlementation commerciale et au régime fiscal de droit commun</w:t>
      </w:r>
      <w:r w:rsidR="009B4E2B">
        <w:rPr>
          <w:rFonts w:ascii="Times New Roman" w:hAnsi="Times New Roman"/>
          <w:sz w:val="24"/>
          <w:szCs w:val="24"/>
        </w:rPr>
        <w:t xml:space="preserve">, à l’exception de </w:t>
      </w:r>
      <w:r w:rsidR="009B4E2B" w:rsidRPr="00AA5351">
        <w:rPr>
          <w:rFonts w:ascii="Times New Roman" w:hAnsi="Times New Roman"/>
          <w:sz w:val="24"/>
          <w:szCs w:val="24"/>
        </w:rPr>
        <w:t>SAKIMA</w:t>
      </w:r>
      <w:r w:rsidR="009B4E2B">
        <w:rPr>
          <w:rFonts w:ascii="Times New Roman" w:hAnsi="Times New Roman"/>
          <w:sz w:val="24"/>
          <w:szCs w:val="24"/>
        </w:rPr>
        <w:t xml:space="preserve"> qui est régie par un </w:t>
      </w:r>
      <w:r w:rsidRPr="00AA5351">
        <w:rPr>
          <w:rFonts w:ascii="Times New Roman" w:hAnsi="Times New Roman"/>
          <w:sz w:val="24"/>
          <w:szCs w:val="24"/>
        </w:rPr>
        <w:t>régime fiscal d’exception</w:t>
      </w:r>
      <w:r w:rsidR="009B4E2B">
        <w:rPr>
          <w:rFonts w:ascii="Times New Roman" w:hAnsi="Times New Roman"/>
          <w:sz w:val="24"/>
          <w:szCs w:val="24"/>
        </w:rPr>
        <w:t xml:space="preserve"> prévu par la convention applicable au Groupe BANRO du 13 février 1997</w:t>
      </w:r>
      <w:r w:rsidRPr="00AA5351">
        <w:rPr>
          <w:rFonts w:ascii="Times New Roman" w:hAnsi="Times New Roman"/>
          <w:sz w:val="24"/>
          <w:szCs w:val="24"/>
        </w:rPr>
        <w:t xml:space="preserve">. </w:t>
      </w:r>
    </w:p>
    <w:p w14:paraId="3B0C8727" w14:textId="77777777" w:rsidR="00F000B0" w:rsidRPr="00AA5351" w:rsidRDefault="00F000B0" w:rsidP="00F000B0">
      <w:pPr>
        <w:spacing w:after="120"/>
        <w:ind w:left="284"/>
        <w:jc w:val="both"/>
        <w:rPr>
          <w:rFonts w:ascii="Times New Roman" w:hAnsi="Times New Roman"/>
          <w:sz w:val="24"/>
          <w:szCs w:val="24"/>
        </w:rPr>
      </w:pPr>
      <w:r w:rsidRPr="00AA5351">
        <w:rPr>
          <w:rFonts w:ascii="Times New Roman" w:hAnsi="Times New Roman"/>
          <w:sz w:val="24"/>
          <w:szCs w:val="24"/>
        </w:rPr>
        <w:lastRenderedPageBreak/>
        <w:t xml:space="preserve"> De l’analyse des Statuts reçus des EPE, il apparait que  toutes les neuf ont été transformées en société commerciale. </w:t>
      </w:r>
      <w:r w:rsidR="00573673">
        <w:rPr>
          <w:rFonts w:ascii="Times New Roman" w:hAnsi="Times New Roman"/>
          <w:sz w:val="24"/>
          <w:szCs w:val="24"/>
        </w:rPr>
        <w:t>Seule SACIM est une Sarl, les autres sont des sociétés par actions.</w:t>
      </w:r>
    </w:p>
    <w:p w14:paraId="6AA9B8BC"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Le régime fiscal de chaque EPE, le rôle, le statut, les activités de chaque EPE sont plus clarifiés dans la deuxième partie. Les Statuts reçus des EPE  sont disponibles sur le site de l’ITIE </w:t>
      </w:r>
      <w:r>
        <w:rPr>
          <w:rFonts w:ascii="Times New Roman" w:hAnsi="Times New Roman"/>
          <w:sz w:val="24"/>
          <w:szCs w:val="24"/>
        </w:rPr>
        <w:t>–</w:t>
      </w:r>
      <w:r w:rsidRPr="00AA5351">
        <w:rPr>
          <w:rFonts w:ascii="Times New Roman" w:hAnsi="Times New Roman"/>
          <w:sz w:val="24"/>
          <w:szCs w:val="24"/>
        </w:rPr>
        <w:t>RDC</w:t>
      </w:r>
      <w:r>
        <w:rPr>
          <w:rFonts w:ascii="Times New Roman" w:hAnsi="Times New Roman"/>
          <w:sz w:val="24"/>
          <w:szCs w:val="24"/>
        </w:rPr>
        <w:t xml:space="preserve">. </w:t>
      </w:r>
      <w:r>
        <w:rPr>
          <w:rStyle w:val="Appelnotedebasdep"/>
          <w:rFonts w:ascii="Times New Roman" w:hAnsi="Times New Roman"/>
          <w:sz w:val="24"/>
          <w:szCs w:val="24"/>
        </w:rPr>
        <w:footnoteReference w:id="28"/>
      </w:r>
      <w:r w:rsidRPr="00AA5351">
        <w:rPr>
          <w:rFonts w:ascii="Times New Roman" w:hAnsi="Times New Roman"/>
          <w:sz w:val="24"/>
          <w:szCs w:val="24"/>
        </w:rPr>
        <w:t xml:space="preserve"> </w:t>
      </w:r>
    </w:p>
    <w:p w14:paraId="0C20EEC6" w14:textId="698EB50D"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6" w:name="_Toc518468106"/>
      <w:r>
        <w:rPr>
          <w:rFonts w:ascii="Times New Roman" w:hAnsi="Times New Roman" w:cs="Times New Roman"/>
          <w:sz w:val="24"/>
          <w:szCs w:val="24"/>
        </w:rPr>
        <w:t>IX</w:t>
      </w:r>
      <w:r w:rsidR="00943F67" w:rsidRPr="00BC7A6E">
        <w:rPr>
          <w:rFonts w:ascii="Times New Roman" w:hAnsi="Times New Roman" w:cs="Times New Roman"/>
          <w:sz w:val="24"/>
          <w:szCs w:val="24"/>
        </w:rPr>
        <w:t xml:space="preserve">.4. </w:t>
      </w:r>
      <w:r w:rsidR="00A54885">
        <w:rPr>
          <w:rFonts w:ascii="Times New Roman" w:hAnsi="Times New Roman" w:cs="Times New Roman"/>
          <w:sz w:val="24"/>
          <w:szCs w:val="24"/>
        </w:rPr>
        <w:t>Des relations  financiè</w:t>
      </w:r>
      <w:r w:rsidR="00A54885" w:rsidRPr="00BC7A6E">
        <w:rPr>
          <w:rFonts w:ascii="Times New Roman" w:hAnsi="Times New Roman" w:cs="Times New Roman"/>
          <w:sz w:val="24"/>
          <w:szCs w:val="24"/>
        </w:rPr>
        <w:t>res entre l’</w:t>
      </w:r>
      <w:r w:rsidR="00A54885">
        <w:rPr>
          <w:rFonts w:ascii="Times New Roman" w:hAnsi="Times New Roman" w:cs="Times New Roman"/>
          <w:sz w:val="24"/>
          <w:szCs w:val="24"/>
        </w:rPr>
        <w:t>EPE et l’E</w:t>
      </w:r>
      <w:r w:rsidR="00A54885" w:rsidRPr="00BC7A6E">
        <w:rPr>
          <w:rFonts w:ascii="Times New Roman" w:hAnsi="Times New Roman" w:cs="Times New Roman"/>
          <w:sz w:val="24"/>
          <w:szCs w:val="24"/>
        </w:rPr>
        <w:t>tat</w:t>
      </w:r>
      <w:bookmarkEnd w:id="186"/>
    </w:p>
    <w:p w14:paraId="6674D9AD"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La description des règles  régissant la relation financière entre le Gouvernement et les EPE  est contenue dans un document</w:t>
      </w:r>
      <w:r>
        <w:rPr>
          <w:rStyle w:val="Appelnotedebasdep"/>
          <w:rFonts w:ascii="Times New Roman" w:hAnsi="Times New Roman"/>
          <w:sz w:val="24"/>
          <w:szCs w:val="24"/>
        </w:rPr>
        <w:footnoteReference w:id="29"/>
      </w:r>
      <w:r w:rsidRPr="00AA5351">
        <w:rPr>
          <w:rFonts w:ascii="Times New Roman" w:hAnsi="Times New Roman"/>
          <w:sz w:val="24"/>
          <w:szCs w:val="24"/>
        </w:rPr>
        <w:t xml:space="preserve">  reçu du Ministère du Portefeuille. </w:t>
      </w:r>
    </w:p>
    <w:p w14:paraId="2BCFA115" w14:textId="77777777" w:rsidR="00F000B0" w:rsidRDefault="00F000B0" w:rsidP="00F000B0">
      <w:pPr>
        <w:ind w:left="284"/>
        <w:jc w:val="both"/>
        <w:rPr>
          <w:rFonts w:ascii="Times New Roman" w:hAnsi="Times New Roman"/>
          <w:sz w:val="24"/>
          <w:szCs w:val="24"/>
        </w:rPr>
      </w:pPr>
      <w:r w:rsidRPr="00AA5351">
        <w:rPr>
          <w:rFonts w:ascii="Times New Roman" w:hAnsi="Times New Roman"/>
          <w:sz w:val="24"/>
          <w:szCs w:val="24"/>
        </w:rPr>
        <w:t>Ce document qui se focalise davantage sur les dividendes issus des participations de l’Etat, décrit la relation en termes  des différents flux financiers sous forme  des sommes à payer   à l’Etat au titre d’impôts, taxes  et droits divers que les EPE, en tant que contribuables ou redevables, vers</w:t>
      </w:r>
      <w:r>
        <w:rPr>
          <w:rFonts w:ascii="Times New Roman" w:hAnsi="Times New Roman"/>
          <w:sz w:val="24"/>
          <w:szCs w:val="24"/>
        </w:rPr>
        <w:t xml:space="preserve">ent </w:t>
      </w:r>
      <w:r w:rsidRPr="00AA5351">
        <w:rPr>
          <w:rFonts w:ascii="Times New Roman" w:hAnsi="Times New Roman"/>
          <w:sz w:val="24"/>
          <w:szCs w:val="24"/>
        </w:rPr>
        <w:t xml:space="preserve">aux Régies financières  en vertu  de la législation fiscale, douanière et para fiscale. </w:t>
      </w:r>
    </w:p>
    <w:p w14:paraId="5763774C"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Pour rappel, au sens de l’Article 7 de la Loi n° 08/010 du 07 juillet 2008 fixant les règles relatives à l’organisation et à la gestion du Portefeuille de l’Etat, les  revenus des participations de l’Etat dans les industries extractives ou « Recettes des participations » comprennent : </w:t>
      </w:r>
    </w:p>
    <w:p w14:paraId="1DE48231"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Les dividendes décrétés ;</w:t>
      </w:r>
    </w:p>
    <w:p w14:paraId="626354A3"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Les remboursements des capitaux investis ;</w:t>
      </w:r>
    </w:p>
    <w:p w14:paraId="17B2CBF5"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 produit de la cession des titres</w:t>
      </w:r>
      <w:r>
        <w:rPr>
          <w:rFonts w:ascii="Times New Roman" w:hAnsi="Times New Roman" w:cs="Times New Roman"/>
          <w:sz w:val="24"/>
          <w:szCs w:val="24"/>
        </w:rPr>
        <w:t>, des royalties/pas de port</w:t>
      </w:r>
      <w:r w:rsidRPr="00AA5351">
        <w:rPr>
          <w:rFonts w:ascii="Times New Roman" w:hAnsi="Times New Roman" w:cs="Times New Roman"/>
          <w:sz w:val="24"/>
          <w:szCs w:val="24"/>
        </w:rPr>
        <w:t xml:space="preserve"> ;</w:t>
      </w:r>
    </w:p>
    <w:p w14:paraId="41472835" w14:textId="77777777" w:rsidR="00F000B0" w:rsidRPr="00AA5351" w:rsidRDefault="00F000B0" w:rsidP="000738D3">
      <w:pPr>
        <w:pStyle w:val="Paragraphedeliste"/>
        <w:numPr>
          <w:ilvl w:val="0"/>
          <w:numId w:val="46"/>
        </w:numPr>
        <w:spacing w:after="120" w:line="259" w:lineRule="auto"/>
        <w:jc w:val="both"/>
        <w:rPr>
          <w:rFonts w:ascii="Times New Roman" w:hAnsi="Times New Roman" w:cs="Times New Roman"/>
          <w:sz w:val="24"/>
          <w:szCs w:val="24"/>
        </w:rPr>
      </w:pPr>
      <w:r w:rsidRPr="00AA5351">
        <w:rPr>
          <w:rFonts w:ascii="Times New Roman" w:hAnsi="Times New Roman" w:cs="Times New Roman"/>
          <w:sz w:val="24"/>
          <w:szCs w:val="24"/>
        </w:rPr>
        <w:t>Le produit de liquidation d’une entreprise du Portefeuille de l’Etat.</w:t>
      </w:r>
    </w:p>
    <w:p w14:paraId="61DE478D"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De la compréhension des textes légaux applicables à la participation de l’Etat, l’explication des règles courantes régissant la relation financière entre les EPE et le Gouvernement, du reste comprises dans ces textes, peut se situer à trois niveaux. </w:t>
      </w:r>
    </w:p>
    <w:p w14:paraId="276BE54F" w14:textId="41BFA50E" w:rsidR="00F000B0" w:rsidRPr="00B072C9" w:rsidRDefault="00F000B0" w:rsidP="00F000B0">
      <w:pPr>
        <w:ind w:left="284"/>
        <w:jc w:val="both"/>
        <w:rPr>
          <w:rFonts w:ascii="Times New Roman" w:hAnsi="Times New Roman"/>
          <w:sz w:val="24"/>
        </w:rPr>
      </w:pPr>
      <w:r w:rsidRPr="00AA5351">
        <w:rPr>
          <w:rFonts w:ascii="Times New Roman" w:hAnsi="Times New Roman"/>
          <w:sz w:val="24"/>
          <w:szCs w:val="24"/>
        </w:rPr>
        <w:t xml:space="preserve">Le premier niveau est celui du paiement des impôts, taxes fiscales, non fiscales et parafiscales ainsi que les autres droits dus à l’Etat. Ici les règles </w:t>
      </w:r>
      <w:r w:rsidRPr="00B072C9">
        <w:rPr>
          <w:rFonts w:ascii="Times New Roman" w:hAnsi="Times New Roman"/>
          <w:sz w:val="24"/>
          <w:szCs w:val="24"/>
          <w:lang w:val="fr-CA"/>
        </w:rPr>
        <w:t>qui régissent les relations financières</w:t>
      </w:r>
      <w:r w:rsidRPr="00F7160F">
        <w:rPr>
          <w:rFonts w:ascii="Times New Roman" w:hAnsi="Times New Roman"/>
          <w:sz w:val="24"/>
          <w:szCs w:val="24"/>
        </w:rPr>
        <w:t xml:space="preserve"> entre</w:t>
      </w:r>
      <w:r>
        <w:rPr>
          <w:rFonts w:ascii="Times New Roman" w:hAnsi="Times New Roman"/>
          <w:sz w:val="24"/>
          <w:szCs w:val="24"/>
        </w:rPr>
        <w:t xml:space="preserve"> l’</w:t>
      </w:r>
      <w:r w:rsidRPr="00AA5351">
        <w:rPr>
          <w:rFonts w:ascii="Times New Roman" w:hAnsi="Times New Roman"/>
          <w:sz w:val="24"/>
          <w:szCs w:val="24"/>
        </w:rPr>
        <w:t>Etat et les EPE sont celles déterminées par la législation fiscale, douanière et para fiscale qui s’appliquent à tous les contribuables y compris les EPE. Ainsi, les EPE se comportent comme tout autre contribuable en accomplissant leurs obligations par le paiement, dans les délais des droits dus à l’Etat.  L</w:t>
      </w:r>
      <w:r w:rsidR="00744749">
        <w:rPr>
          <w:rFonts w:ascii="Times New Roman" w:hAnsi="Times New Roman"/>
          <w:sz w:val="24"/>
          <w:szCs w:val="24"/>
        </w:rPr>
        <w:t xml:space="preserve">’EPE ne bénéficie d’aucun </w:t>
      </w:r>
      <w:r w:rsidRPr="00AA5351">
        <w:rPr>
          <w:rFonts w:ascii="Times New Roman" w:hAnsi="Times New Roman"/>
          <w:sz w:val="24"/>
          <w:szCs w:val="24"/>
        </w:rPr>
        <w:t>traitement de faveur</w:t>
      </w:r>
      <w:r w:rsidR="00E95A58">
        <w:rPr>
          <w:rFonts w:ascii="Times New Roman" w:hAnsi="Times New Roman"/>
          <w:sz w:val="24"/>
          <w:szCs w:val="24"/>
        </w:rPr>
        <w:t>, sauf</w:t>
      </w:r>
      <w:r w:rsidRPr="00AA5351">
        <w:rPr>
          <w:rFonts w:ascii="Times New Roman" w:hAnsi="Times New Roman"/>
          <w:sz w:val="24"/>
          <w:szCs w:val="24"/>
        </w:rPr>
        <w:t xml:space="preserve"> dans les cas où elle </w:t>
      </w:r>
      <w:r w:rsidR="00744749">
        <w:rPr>
          <w:rFonts w:ascii="Times New Roman" w:hAnsi="Times New Roman"/>
          <w:sz w:val="24"/>
          <w:szCs w:val="24"/>
        </w:rPr>
        <w:t>jouit</w:t>
      </w:r>
      <w:r w:rsidRPr="00AA5351">
        <w:rPr>
          <w:rFonts w:ascii="Times New Roman" w:hAnsi="Times New Roman"/>
          <w:sz w:val="24"/>
          <w:szCs w:val="24"/>
        </w:rPr>
        <w:t xml:space="preserve"> des privilèges fiscaux en vertu des lois ou d’une dérogation expresse accordée par les autorités fiscales compétentes</w:t>
      </w:r>
      <w:r w:rsidR="00602C99">
        <w:rPr>
          <w:rStyle w:val="Appelnotedebasdep"/>
          <w:rFonts w:ascii="Times New Roman" w:hAnsi="Times New Roman"/>
          <w:sz w:val="24"/>
          <w:szCs w:val="24"/>
        </w:rPr>
        <w:footnoteReference w:id="30"/>
      </w:r>
      <w:r w:rsidRPr="00AA5351">
        <w:rPr>
          <w:rFonts w:ascii="Times New Roman" w:hAnsi="Times New Roman"/>
          <w:sz w:val="24"/>
          <w:szCs w:val="24"/>
        </w:rPr>
        <w:t>.</w:t>
      </w:r>
    </w:p>
    <w:p w14:paraId="7148CF8E"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Rentre aussi dans ce niveau, le paiement de dividende dû à l’Etat qui est calculé sur le </w:t>
      </w:r>
      <w:r w:rsidR="00602C99">
        <w:rPr>
          <w:rFonts w:ascii="Times New Roman" w:hAnsi="Times New Roman"/>
          <w:sz w:val="24"/>
          <w:szCs w:val="24"/>
        </w:rPr>
        <w:t xml:space="preserve">résultat </w:t>
      </w:r>
      <w:r w:rsidR="006113BB">
        <w:rPr>
          <w:rFonts w:ascii="Times New Roman" w:hAnsi="Times New Roman"/>
          <w:sz w:val="24"/>
          <w:szCs w:val="24"/>
        </w:rPr>
        <w:t>de l’exercice</w:t>
      </w:r>
      <w:r w:rsidRPr="00AA5351">
        <w:rPr>
          <w:rFonts w:ascii="Times New Roman" w:hAnsi="Times New Roman"/>
          <w:sz w:val="24"/>
          <w:szCs w:val="24"/>
        </w:rPr>
        <w:t xml:space="preserve">.  </w:t>
      </w:r>
    </w:p>
    <w:p w14:paraId="114F5BD9" w14:textId="702BD815"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Le deuxième niveau est le cas spécifique des cessions des titres (miniers /pétroliers) ou des parts du capital (parts sociales/actions).</w:t>
      </w:r>
      <w:r>
        <w:rPr>
          <w:rFonts w:ascii="Times New Roman" w:hAnsi="Times New Roman"/>
          <w:sz w:val="24"/>
          <w:szCs w:val="24"/>
        </w:rPr>
        <w:t xml:space="preserve"> </w:t>
      </w:r>
      <w:r w:rsidRPr="00AA5351">
        <w:rPr>
          <w:rFonts w:ascii="Times New Roman" w:hAnsi="Times New Roman"/>
          <w:sz w:val="24"/>
          <w:szCs w:val="24"/>
        </w:rPr>
        <w:t>Les règles applicables sont déterminées par la Loi n°08/008 du 7 juillet 2008 portant dispositions générales sur le désengagement de l’Etat des EPE et le D</w:t>
      </w:r>
      <w:r>
        <w:rPr>
          <w:rFonts w:ascii="Times New Roman" w:hAnsi="Times New Roman"/>
          <w:sz w:val="24"/>
          <w:szCs w:val="24"/>
        </w:rPr>
        <w:t>é</w:t>
      </w:r>
      <w:r w:rsidRPr="00AA5351">
        <w:rPr>
          <w:rFonts w:ascii="Times New Roman" w:hAnsi="Times New Roman"/>
          <w:sz w:val="24"/>
          <w:szCs w:val="24"/>
        </w:rPr>
        <w:t xml:space="preserve">cret </w:t>
      </w:r>
      <w:r w:rsidRPr="00AA5351">
        <w:rPr>
          <w:rFonts w:ascii="Times New Roman" w:hAnsi="Times New Roman"/>
          <w:sz w:val="24"/>
          <w:szCs w:val="24"/>
        </w:rPr>
        <w:lastRenderedPageBreak/>
        <w:t>n° 13/003 du 15 janvier 2013 relatif aux conditions et modalités de cession des parts sociales ou actions de l'Etat aux personnes physiques ou morales de nationalité congolaise et/ou aux salariés</w:t>
      </w:r>
    </w:p>
    <w:p w14:paraId="2C833E9E" w14:textId="77777777" w:rsidR="00F000B0" w:rsidRPr="00AA5351" w:rsidRDefault="00F000B0" w:rsidP="00F000B0">
      <w:pPr>
        <w:ind w:left="284"/>
        <w:jc w:val="both"/>
        <w:rPr>
          <w:rFonts w:ascii="Times New Roman" w:hAnsi="Times New Roman"/>
          <w:sz w:val="24"/>
          <w:szCs w:val="24"/>
        </w:rPr>
      </w:pPr>
      <w:r w:rsidRPr="007E6B6B">
        <w:rPr>
          <w:rFonts w:ascii="Times New Roman" w:hAnsi="Times New Roman"/>
          <w:sz w:val="24"/>
        </w:rPr>
        <w:t>Au sens de ces deux textes, la cession à titre onéreux de la propriété de tout ou partie des actifs ou de tout ou partie du capital</w:t>
      </w:r>
      <w:r w:rsidRPr="00B13114">
        <w:rPr>
          <w:rFonts w:ascii="Times New Roman" w:hAnsi="Times New Roman"/>
          <w:sz w:val="24"/>
        </w:rPr>
        <w:t xml:space="preserve"> de l’EPE constitue un désengagement de l’Etat de cette dernière. L’EPE étant une propriété commune de la collectivité nationale, toute cession </w:t>
      </w:r>
      <w:r w:rsidRPr="00AA5351">
        <w:rPr>
          <w:rFonts w:ascii="Times New Roman" w:hAnsi="Times New Roman"/>
          <w:sz w:val="24"/>
        </w:rPr>
        <w:t>d’actifs ou du capital est conditionnée par  l’observance d’une procédure qui prévoit  l’octroi par voie d’appel d’offres. L’avis de cession doit être publié au journal officiel et dans trois organes de presse. Chaque année, le Ministre du portefeuille doit faire rapport au Gouvernement sur les opérations de désengagement entreprises durant l’année. Il en indique également les retombées financières.</w:t>
      </w:r>
    </w:p>
    <w:p w14:paraId="42060260" w14:textId="47383B3C"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Conformément aux articles 24 et 25 Loi n°08/008 du 7 juillet 2008, la cession des actions, des parts sociales ou d’actifs se fait contre paiement préalable et intégrale du prix. Les recettes provenant du désengagement sont versées dans un compte spécial du Trésor. </w:t>
      </w:r>
    </w:p>
    <w:p w14:paraId="7B95E195" w14:textId="77777777" w:rsidR="00F000B0" w:rsidRPr="00AA5351" w:rsidRDefault="00F000B0" w:rsidP="00F000B0">
      <w:pPr>
        <w:shd w:val="clear" w:color="auto" w:fill="FFFFFF"/>
        <w:ind w:left="284"/>
        <w:jc w:val="both"/>
        <w:rPr>
          <w:rFonts w:ascii="Times New Roman" w:eastAsia="Times New Roman" w:hAnsi="Times New Roman"/>
          <w:b/>
          <w:bCs/>
          <w:i/>
          <w:iCs/>
          <w:color w:val="333333"/>
          <w:sz w:val="24"/>
          <w:szCs w:val="24"/>
          <w:lang w:eastAsia="fr-FR"/>
        </w:rPr>
      </w:pPr>
      <w:r w:rsidRPr="00AA5351">
        <w:rPr>
          <w:rFonts w:ascii="Times New Roman" w:hAnsi="Times New Roman"/>
          <w:sz w:val="24"/>
          <w:szCs w:val="24"/>
        </w:rPr>
        <w:t xml:space="preserve"> Le troisième niveau concernent  les règles régissant la repartions des recettes issues  des partenariats. </w:t>
      </w:r>
      <w:r w:rsidRPr="00AA5351">
        <w:rPr>
          <w:rFonts w:ascii="Times New Roman" w:hAnsi="Times New Roman"/>
          <w:color w:val="333333"/>
          <w:sz w:val="24"/>
          <w:szCs w:val="24"/>
        </w:rPr>
        <w:t xml:space="preserve"> </w:t>
      </w:r>
      <w:r w:rsidRPr="00AA5351">
        <w:rPr>
          <w:rFonts w:ascii="Times New Roman" w:hAnsi="Times New Roman"/>
          <w:sz w:val="24"/>
          <w:szCs w:val="24"/>
        </w:rPr>
        <w:t>L'Article 39 de la Loi des Finances n°15/021 du 31 décembre 2015 pour l'exercice 2016, prévoit que les 50 % des pas de porte et royalties dont bénéficient les entreprises du portefeuille de l’Etat du secteur minier, en vertu de contrats et conventions, soient portés sur les recettes non fiscales et perçus conformément à la procédure prévue en la matière</w:t>
      </w:r>
      <w:r w:rsidRPr="00AA5351">
        <w:rPr>
          <w:rFonts w:ascii="Times New Roman" w:eastAsia="Times New Roman" w:hAnsi="Times New Roman"/>
          <w:b/>
          <w:bCs/>
          <w:i/>
          <w:iCs/>
          <w:color w:val="333333"/>
          <w:sz w:val="24"/>
          <w:szCs w:val="24"/>
          <w:lang w:eastAsia="fr-FR"/>
        </w:rPr>
        <w:t>.</w:t>
      </w:r>
    </w:p>
    <w:p w14:paraId="3FFC009F" w14:textId="77777777" w:rsidR="00F000B0" w:rsidRPr="00AA5351" w:rsidRDefault="00F000B0" w:rsidP="00F000B0">
      <w:pPr>
        <w:shd w:val="clear" w:color="auto" w:fill="FFFFFF"/>
        <w:ind w:left="284"/>
        <w:rPr>
          <w:rFonts w:ascii="Times New Roman" w:eastAsia="Times New Roman" w:hAnsi="Times New Roman"/>
          <w:color w:val="333333"/>
          <w:sz w:val="24"/>
          <w:szCs w:val="24"/>
          <w:lang w:eastAsia="fr-FR"/>
        </w:rPr>
      </w:pPr>
      <w:r w:rsidRPr="00AA5351">
        <w:rPr>
          <w:rFonts w:ascii="Times New Roman" w:hAnsi="Times New Roman"/>
          <w:sz w:val="24"/>
          <w:szCs w:val="24"/>
        </w:rPr>
        <w:t>Pour plus d’informations consulter</w:t>
      </w:r>
      <w:r>
        <w:rPr>
          <w:rFonts w:ascii="Times New Roman" w:hAnsi="Times New Roman"/>
          <w:sz w:val="24"/>
          <w:szCs w:val="24"/>
        </w:rPr>
        <w:t xml:space="preserve"> La page suivante :</w:t>
      </w:r>
      <w:r w:rsidRPr="00AA5351">
        <w:rPr>
          <w:rFonts w:ascii="Times New Roman" w:hAnsi="Times New Roman"/>
          <w:color w:val="333333"/>
          <w:sz w:val="24"/>
          <w:szCs w:val="24"/>
          <w:shd w:val="clear" w:color="auto" w:fill="FFFFFF"/>
        </w:rPr>
        <w:t xml:space="preserve"> </w:t>
      </w:r>
      <w:hyperlink r:id="rId54" w:history="1">
        <w:r w:rsidRPr="00AA5351">
          <w:rPr>
            <w:rStyle w:val="Lienhypertexte"/>
            <w:rFonts w:ascii="Times New Roman" w:hAnsi="Times New Roman"/>
            <w:sz w:val="24"/>
            <w:szCs w:val="24"/>
          </w:rPr>
          <w:t>http://www.leganet.cd/Legislation/Dfiscal/Finances/Loi%2015.021.31.12.html</w:t>
        </w:r>
      </w:hyperlink>
    </w:p>
    <w:p w14:paraId="41B0B864"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 xml:space="preserve"> En clair, 50% des recettes des pas de porte et des royalties perçus  par les EPE reviennent à l’Etat et les 50% autres reviennent à l’EPE. Les autres recettes contractuelles reviennent en totalité aux EPE. </w:t>
      </w:r>
    </w:p>
    <w:p w14:paraId="339EABFF" w14:textId="77777777" w:rsidR="00F000B0" w:rsidRPr="00AA5351" w:rsidRDefault="00F000B0" w:rsidP="00F000B0">
      <w:pPr>
        <w:ind w:left="284"/>
        <w:jc w:val="both"/>
        <w:rPr>
          <w:rFonts w:ascii="Times New Roman" w:hAnsi="Times New Roman"/>
          <w:sz w:val="24"/>
          <w:szCs w:val="24"/>
        </w:rPr>
      </w:pPr>
      <w:r w:rsidRPr="00AA5351">
        <w:rPr>
          <w:rFonts w:ascii="Times New Roman" w:hAnsi="Times New Roman"/>
          <w:sz w:val="24"/>
          <w:szCs w:val="24"/>
        </w:rPr>
        <w:t>Pour ce qui est des pratiques, les cas ci-après  peuvent être épinglés  pour décrire la relation financière être le Gouvernement et les EPE:</w:t>
      </w:r>
    </w:p>
    <w:p w14:paraId="69391D0B"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Les dividendes,</w:t>
      </w:r>
    </w:p>
    <w:p w14:paraId="4F1C0CCE"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Le principe voudrait qu’ils soient  calculés sur des résultats bénéficiaires.  Cependant, le document reçu du Ministère indique qu’ils sont calculés non pas sur le résultat mais sont perçus au titre d’avances calculées sur le chiffre d’affaires de l’EPE.</w:t>
      </w:r>
    </w:p>
    <w:p w14:paraId="02242490"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L’analyse </w:t>
      </w:r>
      <w:r>
        <w:rPr>
          <w:rFonts w:ascii="Times New Roman" w:hAnsi="Times New Roman"/>
          <w:sz w:val="24"/>
          <w:szCs w:val="24"/>
        </w:rPr>
        <w:t>d</w:t>
      </w:r>
      <w:r w:rsidRPr="00AA5351">
        <w:rPr>
          <w:rFonts w:ascii="Times New Roman" w:hAnsi="Times New Roman"/>
          <w:sz w:val="24"/>
          <w:szCs w:val="24"/>
        </w:rPr>
        <w:t>es documents</w:t>
      </w:r>
      <w:r>
        <w:rPr>
          <w:rStyle w:val="Appelnotedebasdep"/>
          <w:rFonts w:ascii="Times New Roman" w:hAnsi="Times New Roman"/>
          <w:sz w:val="24"/>
          <w:szCs w:val="24"/>
        </w:rPr>
        <w:footnoteReference w:id="31"/>
      </w:r>
      <w:r w:rsidRPr="00AA5351">
        <w:rPr>
          <w:rFonts w:ascii="Times New Roman" w:hAnsi="Times New Roman"/>
          <w:sz w:val="24"/>
          <w:szCs w:val="24"/>
        </w:rPr>
        <w:t xml:space="preserve"> reçus des EPE permet aussi de comprendre que les dividendes sont payés sous l’appellation « contribution au budget de l’Etat » flux retenu dans le Référentiel ITIE.</w:t>
      </w:r>
    </w:p>
    <w:p w14:paraId="3F9B671A" w14:textId="77777777" w:rsidR="00F000B0"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En </w:t>
      </w:r>
      <w:r w:rsidR="00CB25B6">
        <w:rPr>
          <w:rFonts w:ascii="Times New Roman" w:hAnsi="Times New Roman"/>
          <w:sz w:val="24"/>
          <w:szCs w:val="24"/>
        </w:rPr>
        <w:t xml:space="preserve">principe, </w:t>
      </w:r>
      <w:r w:rsidR="00CB25B6" w:rsidRPr="00AA5351">
        <w:rPr>
          <w:rFonts w:ascii="Times New Roman" w:hAnsi="Times New Roman"/>
          <w:sz w:val="24"/>
          <w:szCs w:val="24"/>
        </w:rPr>
        <w:t xml:space="preserve">le Gouvernement </w:t>
      </w:r>
      <w:r w:rsidR="00CB25B6">
        <w:rPr>
          <w:rFonts w:ascii="Times New Roman" w:hAnsi="Times New Roman"/>
          <w:sz w:val="24"/>
          <w:szCs w:val="24"/>
        </w:rPr>
        <w:t>devrait percevoir</w:t>
      </w:r>
      <w:r w:rsidR="00CB25B6" w:rsidRPr="00AA5351">
        <w:rPr>
          <w:rFonts w:ascii="Times New Roman" w:hAnsi="Times New Roman"/>
          <w:sz w:val="24"/>
          <w:szCs w:val="24"/>
        </w:rPr>
        <w:t xml:space="preserve"> </w:t>
      </w:r>
      <w:r w:rsidR="00CB25B6">
        <w:rPr>
          <w:rFonts w:ascii="Times New Roman" w:hAnsi="Times New Roman"/>
          <w:sz w:val="24"/>
          <w:szCs w:val="24"/>
        </w:rPr>
        <w:t xml:space="preserve">des dividendes calculés sur les résultats </w:t>
      </w:r>
      <w:r w:rsidR="007304BC">
        <w:rPr>
          <w:rFonts w:ascii="Times New Roman" w:hAnsi="Times New Roman"/>
          <w:sz w:val="24"/>
          <w:szCs w:val="24"/>
        </w:rPr>
        <w:t>bénéficiaires, m</w:t>
      </w:r>
      <w:r w:rsidR="00CF4D8F">
        <w:rPr>
          <w:rFonts w:ascii="Times New Roman" w:hAnsi="Times New Roman"/>
          <w:sz w:val="24"/>
          <w:szCs w:val="24"/>
        </w:rPr>
        <w:t xml:space="preserve">ais </w:t>
      </w:r>
      <w:r w:rsidR="007304BC">
        <w:rPr>
          <w:rFonts w:ascii="Times New Roman" w:hAnsi="Times New Roman"/>
          <w:sz w:val="24"/>
          <w:szCs w:val="24"/>
        </w:rPr>
        <w:t>du fait</w:t>
      </w:r>
      <w:r w:rsidR="00CF4D8F">
        <w:rPr>
          <w:rFonts w:ascii="Times New Roman" w:hAnsi="Times New Roman"/>
          <w:sz w:val="24"/>
          <w:szCs w:val="24"/>
        </w:rPr>
        <w:t xml:space="preserve"> </w:t>
      </w:r>
      <w:r w:rsidR="007304BC">
        <w:rPr>
          <w:rFonts w:ascii="Times New Roman" w:hAnsi="Times New Roman"/>
          <w:sz w:val="24"/>
          <w:szCs w:val="24"/>
        </w:rPr>
        <w:t>des résultats déficitaires quasi permanents</w:t>
      </w:r>
      <w:r w:rsidR="00CF4D8F">
        <w:rPr>
          <w:rFonts w:ascii="Times New Roman" w:hAnsi="Times New Roman"/>
          <w:sz w:val="24"/>
          <w:szCs w:val="24"/>
        </w:rPr>
        <w:t xml:space="preserve"> des EPE, </w:t>
      </w:r>
      <w:r w:rsidR="00F706CA">
        <w:rPr>
          <w:rFonts w:ascii="Times New Roman" w:hAnsi="Times New Roman"/>
          <w:sz w:val="24"/>
          <w:szCs w:val="24"/>
        </w:rPr>
        <w:t xml:space="preserve">comme palliatif, le Gouvernement a prévu </w:t>
      </w:r>
      <w:r w:rsidR="007304BC">
        <w:rPr>
          <w:rFonts w:ascii="Times New Roman" w:hAnsi="Times New Roman"/>
          <w:sz w:val="24"/>
          <w:szCs w:val="24"/>
        </w:rPr>
        <w:t>un prélèvement d’autorité appelé « contribution au budget de l’Etat ». Ce prélèvement est calculé sur la surface financière de</w:t>
      </w:r>
      <w:r w:rsidR="00BB3DD1">
        <w:rPr>
          <w:rFonts w:ascii="Times New Roman" w:hAnsi="Times New Roman"/>
          <w:sz w:val="24"/>
          <w:szCs w:val="24"/>
        </w:rPr>
        <w:t xml:space="preserve"> l’</w:t>
      </w:r>
      <w:r w:rsidR="007304BC">
        <w:rPr>
          <w:rFonts w:ascii="Times New Roman" w:hAnsi="Times New Roman"/>
          <w:sz w:val="24"/>
          <w:szCs w:val="24"/>
        </w:rPr>
        <w:t xml:space="preserve">EPE </w:t>
      </w:r>
      <w:r w:rsidR="00BB3DD1">
        <w:rPr>
          <w:rFonts w:ascii="Times New Roman" w:hAnsi="Times New Roman"/>
          <w:sz w:val="24"/>
          <w:szCs w:val="24"/>
        </w:rPr>
        <w:t>en veillant à la sauvegarde de</w:t>
      </w:r>
      <w:r w:rsidR="007304BC">
        <w:rPr>
          <w:rFonts w:ascii="Times New Roman" w:hAnsi="Times New Roman"/>
          <w:sz w:val="24"/>
          <w:szCs w:val="24"/>
        </w:rPr>
        <w:t xml:space="preserve"> son exploitation.</w:t>
      </w:r>
      <w:r w:rsidR="00CF4D8F">
        <w:rPr>
          <w:rFonts w:ascii="Times New Roman" w:hAnsi="Times New Roman"/>
          <w:sz w:val="24"/>
          <w:szCs w:val="24"/>
        </w:rPr>
        <w:t xml:space="preserve"> </w:t>
      </w:r>
      <w:r w:rsidR="00CB25B6">
        <w:rPr>
          <w:rFonts w:ascii="Times New Roman" w:hAnsi="Times New Roman"/>
          <w:sz w:val="24"/>
          <w:szCs w:val="24"/>
        </w:rPr>
        <w:t xml:space="preserve"> </w:t>
      </w:r>
    </w:p>
    <w:p w14:paraId="5D0DA134" w14:textId="77777777" w:rsidR="00381D22" w:rsidRPr="00AA5351" w:rsidRDefault="00381D22" w:rsidP="00F000B0">
      <w:pPr>
        <w:ind w:left="709"/>
        <w:jc w:val="both"/>
        <w:rPr>
          <w:rFonts w:ascii="Times New Roman" w:hAnsi="Times New Roman"/>
          <w:sz w:val="24"/>
          <w:szCs w:val="24"/>
        </w:rPr>
      </w:pPr>
    </w:p>
    <w:p w14:paraId="47CF3287"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lastRenderedPageBreak/>
        <w:t>Les cessions d’actifs</w:t>
      </w:r>
    </w:p>
    <w:p w14:paraId="72D24CF7" w14:textId="0DF63DAE" w:rsidR="00F000B0" w:rsidRPr="00216312" w:rsidRDefault="00F000B0" w:rsidP="00F000B0">
      <w:pPr>
        <w:ind w:left="709"/>
        <w:jc w:val="both"/>
        <w:rPr>
          <w:rFonts w:ascii="Times New Roman" w:hAnsi="Times New Roman"/>
          <w:sz w:val="24"/>
          <w:szCs w:val="24"/>
        </w:rPr>
      </w:pPr>
      <w:r w:rsidRPr="00AA5351">
        <w:rPr>
          <w:rFonts w:ascii="Times New Roman" w:hAnsi="Times New Roman"/>
          <w:sz w:val="24"/>
          <w:szCs w:val="24"/>
        </w:rPr>
        <w:t>La GECAMINES a déclaré en 2016, avoir perçu 110 millions de dollars au titre de la cession de ses parts dans METALKOL</w:t>
      </w:r>
      <w:r w:rsidR="00BB3DD1">
        <w:rPr>
          <w:rStyle w:val="Appelnotedebasdep"/>
          <w:rFonts w:ascii="Times New Roman" w:hAnsi="Times New Roman"/>
          <w:sz w:val="24"/>
          <w:szCs w:val="24"/>
        </w:rPr>
        <w:footnoteReference w:id="32"/>
      </w:r>
      <w:r w:rsidRPr="00AA5351">
        <w:rPr>
          <w:rFonts w:ascii="Times New Roman" w:hAnsi="Times New Roman"/>
          <w:sz w:val="24"/>
          <w:szCs w:val="24"/>
        </w:rPr>
        <w:t>.</w:t>
      </w:r>
      <w:r w:rsidR="00381D22">
        <w:rPr>
          <w:rFonts w:ascii="Times New Roman" w:hAnsi="Times New Roman"/>
          <w:sz w:val="24"/>
          <w:szCs w:val="24"/>
        </w:rPr>
        <w:t xml:space="preserve"> Les états financiers</w:t>
      </w:r>
      <w:r w:rsidR="00C04F4A">
        <w:rPr>
          <w:rFonts w:ascii="Times New Roman" w:hAnsi="Times New Roman"/>
          <w:sz w:val="24"/>
          <w:szCs w:val="24"/>
        </w:rPr>
        <w:t xml:space="preserve"> (p.51)</w:t>
      </w:r>
      <w:r w:rsidR="00381D22">
        <w:rPr>
          <w:rFonts w:ascii="Times New Roman" w:hAnsi="Times New Roman"/>
          <w:sz w:val="24"/>
          <w:szCs w:val="24"/>
        </w:rPr>
        <w:t xml:space="preserve"> renseignent un </w:t>
      </w:r>
      <w:r w:rsidR="00C04F4A">
        <w:rPr>
          <w:rFonts w:ascii="Times New Roman" w:hAnsi="Times New Roman"/>
          <w:sz w:val="24"/>
          <w:szCs w:val="24"/>
        </w:rPr>
        <w:t>montant</w:t>
      </w:r>
      <w:r w:rsidR="00381D22">
        <w:rPr>
          <w:rFonts w:ascii="Times New Roman" w:hAnsi="Times New Roman"/>
          <w:sz w:val="24"/>
          <w:szCs w:val="24"/>
        </w:rPr>
        <w:t xml:space="preserve"> de 170 M</w:t>
      </w:r>
      <w:r w:rsidR="00D256CC">
        <w:rPr>
          <w:rFonts w:ascii="Times New Roman" w:hAnsi="Times New Roman"/>
          <w:sz w:val="24"/>
          <w:szCs w:val="24"/>
        </w:rPr>
        <w:t xml:space="preserve"> USD</w:t>
      </w:r>
      <w:r w:rsidR="00C04F4A">
        <w:rPr>
          <w:rFonts w:ascii="Times New Roman" w:hAnsi="Times New Roman"/>
          <w:sz w:val="24"/>
          <w:szCs w:val="24"/>
        </w:rPr>
        <w:t xml:space="preserve">. </w:t>
      </w:r>
      <w:r w:rsidRPr="00AA5351">
        <w:rPr>
          <w:rFonts w:ascii="Times New Roman" w:hAnsi="Times New Roman"/>
          <w:sz w:val="24"/>
          <w:szCs w:val="24"/>
        </w:rPr>
        <w:t xml:space="preserve">La société n’a pas indiqué avoir </w:t>
      </w:r>
      <w:r w:rsidR="00BB3DD1">
        <w:rPr>
          <w:rFonts w:ascii="Times New Roman" w:hAnsi="Times New Roman"/>
          <w:sz w:val="24"/>
          <w:szCs w:val="24"/>
        </w:rPr>
        <w:t xml:space="preserve">cédé cet actif à l’issue d’un </w:t>
      </w:r>
      <w:r w:rsidRPr="00AA5351">
        <w:rPr>
          <w:rFonts w:ascii="Times New Roman" w:hAnsi="Times New Roman"/>
          <w:sz w:val="24"/>
          <w:szCs w:val="24"/>
        </w:rPr>
        <w:t>appel d’offres.  Le Ministère du portefeuille</w:t>
      </w:r>
      <w:r w:rsidR="00FD0B4F">
        <w:rPr>
          <w:rFonts w:ascii="Times New Roman" w:hAnsi="Times New Roman"/>
          <w:sz w:val="24"/>
          <w:szCs w:val="24"/>
        </w:rPr>
        <w:t>,</w:t>
      </w:r>
      <w:r w:rsidRPr="00AA5351">
        <w:rPr>
          <w:rFonts w:ascii="Times New Roman" w:hAnsi="Times New Roman"/>
          <w:sz w:val="24"/>
          <w:szCs w:val="24"/>
        </w:rPr>
        <w:t xml:space="preserve"> </w:t>
      </w:r>
      <w:r w:rsidR="00FD0B4F">
        <w:rPr>
          <w:rFonts w:ascii="Times New Roman" w:hAnsi="Times New Roman"/>
          <w:sz w:val="24"/>
          <w:szCs w:val="24"/>
        </w:rPr>
        <w:t>également</w:t>
      </w:r>
      <w:r w:rsidR="00BB3DD1">
        <w:rPr>
          <w:rFonts w:ascii="Times New Roman" w:hAnsi="Times New Roman"/>
          <w:sz w:val="24"/>
          <w:szCs w:val="24"/>
        </w:rPr>
        <w:t>,</w:t>
      </w:r>
      <w:r w:rsidRPr="00AA5351">
        <w:rPr>
          <w:rFonts w:ascii="Times New Roman" w:hAnsi="Times New Roman"/>
          <w:sz w:val="24"/>
          <w:szCs w:val="24"/>
        </w:rPr>
        <w:t xml:space="preserve"> n’a pas renseigné avoir publié un avis de cession encore moins présenté le rapport du désengagement au Gouvernement.  Ainsi déclaré comme </w:t>
      </w:r>
      <w:r w:rsidR="00C04F4A">
        <w:rPr>
          <w:rFonts w:ascii="Times New Roman" w:hAnsi="Times New Roman"/>
          <w:sz w:val="24"/>
          <w:szCs w:val="24"/>
        </w:rPr>
        <w:t>recette propre par la société, la quote</w:t>
      </w:r>
      <w:r w:rsidR="00D256CC">
        <w:rPr>
          <w:rFonts w:ascii="Times New Roman" w:hAnsi="Times New Roman"/>
          <w:sz w:val="24"/>
          <w:szCs w:val="24"/>
        </w:rPr>
        <w:t>-</w:t>
      </w:r>
      <w:r w:rsidR="00C04F4A">
        <w:rPr>
          <w:rFonts w:ascii="Times New Roman" w:hAnsi="Times New Roman"/>
          <w:sz w:val="24"/>
          <w:szCs w:val="24"/>
        </w:rPr>
        <w:t xml:space="preserve">part  revenant à l’Etat </w:t>
      </w:r>
      <w:r w:rsidRPr="00AA5351">
        <w:rPr>
          <w:rFonts w:ascii="Times New Roman" w:hAnsi="Times New Roman"/>
          <w:sz w:val="24"/>
          <w:szCs w:val="24"/>
        </w:rPr>
        <w:t>n’a donc pas été versé</w:t>
      </w:r>
      <w:r w:rsidR="00C04F4A">
        <w:rPr>
          <w:rFonts w:ascii="Times New Roman" w:hAnsi="Times New Roman"/>
          <w:sz w:val="24"/>
          <w:szCs w:val="24"/>
        </w:rPr>
        <w:t>e</w:t>
      </w:r>
      <w:r w:rsidRPr="00AA5351">
        <w:rPr>
          <w:rFonts w:ascii="Times New Roman" w:hAnsi="Times New Roman"/>
          <w:sz w:val="24"/>
          <w:szCs w:val="24"/>
        </w:rPr>
        <w:t xml:space="preserve"> au Trésor public  comme l’exigent  </w:t>
      </w:r>
      <w:r>
        <w:rPr>
          <w:rFonts w:ascii="Times New Roman" w:hAnsi="Times New Roman"/>
          <w:sz w:val="24"/>
          <w:szCs w:val="24"/>
        </w:rPr>
        <w:t xml:space="preserve">la </w:t>
      </w:r>
      <w:r w:rsidRPr="00AA5351">
        <w:rPr>
          <w:rFonts w:ascii="Times New Roman" w:hAnsi="Times New Roman"/>
          <w:sz w:val="24"/>
          <w:szCs w:val="24"/>
        </w:rPr>
        <w:t>Loi n°08/008 du 7 juillet 2008 portant  dispositions générales sur le désengagement de l’Etat des EPE.</w:t>
      </w:r>
      <w:r w:rsidR="00C04F4A">
        <w:rPr>
          <w:rFonts w:ascii="Times New Roman" w:hAnsi="Times New Roman"/>
          <w:sz w:val="24"/>
          <w:szCs w:val="24"/>
        </w:rPr>
        <w:t xml:space="preserve"> Il est bon de rappeler que le produit de la cession d’actifs est une recette du Portefeuille de l’Etat.</w:t>
      </w:r>
    </w:p>
    <w:p w14:paraId="08DF9D77" w14:textId="77777777" w:rsidR="00F000B0" w:rsidRPr="00AA5351" w:rsidRDefault="00F000B0" w:rsidP="000738D3">
      <w:pPr>
        <w:pStyle w:val="Paragraphedeliste"/>
        <w:numPr>
          <w:ilvl w:val="0"/>
          <w:numId w:val="44"/>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Les recettes issues des partenariats</w:t>
      </w:r>
    </w:p>
    <w:p w14:paraId="05A889EB" w14:textId="77777777" w:rsidR="00F000B0" w:rsidRPr="00AA5351" w:rsidRDefault="00F000B0" w:rsidP="00F000B0">
      <w:pPr>
        <w:ind w:left="709"/>
        <w:jc w:val="both"/>
        <w:rPr>
          <w:rFonts w:ascii="Times New Roman" w:hAnsi="Times New Roman"/>
          <w:sz w:val="24"/>
          <w:szCs w:val="24"/>
        </w:rPr>
      </w:pPr>
      <w:r w:rsidRPr="00AA5351">
        <w:rPr>
          <w:rFonts w:ascii="Times New Roman" w:hAnsi="Times New Roman"/>
          <w:sz w:val="24"/>
          <w:szCs w:val="24"/>
        </w:rPr>
        <w:t xml:space="preserve">Pour ce qui est du partage des recettes des pas de porte et des royalties, en pratique, la Loi  des Finances précitée n’est pas rigoureusement respectée. </w:t>
      </w:r>
    </w:p>
    <w:p w14:paraId="2DBFABE1" w14:textId="2FDC6A2E" w:rsidR="00923952" w:rsidRDefault="00F000B0" w:rsidP="007F0DC0">
      <w:pPr>
        <w:spacing w:line="276" w:lineRule="auto"/>
        <w:ind w:left="709"/>
        <w:jc w:val="both"/>
        <w:rPr>
          <w:rFonts w:ascii="Times New Roman" w:hAnsi="Times New Roman"/>
          <w:sz w:val="24"/>
          <w:szCs w:val="24"/>
        </w:rPr>
      </w:pPr>
      <w:r w:rsidRPr="00AA5351">
        <w:rPr>
          <w:rFonts w:ascii="Times New Roman" w:hAnsi="Times New Roman"/>
          <w:sz w:val="24"/>
          <w:szCs w:val="24"/>
        </w:rPr>
        <w:t>Comme  illustration, les états financiers</w:t>
      </w:r>
      <w:r w:rsidR="00FD0B4F">
        <w:rPr>
          <w:rFonts w:ascii="Times New Roman" w:hAnsi="Times New Roman"/>
          <w:sz w:val="24"/>
          <w:szCs w:val="24"/>
        </w:rPr>
        <w:t> </w:t>
      </w:r>
      <w:r>
        <w:rPr>
          <w:rFonts w:ascii="Times New Roman" w:hAnsi="Times New Roman"/>
          <w:sz w:val="24"/>
          <w:szCs w:val="24"/>
        </w:rPr>
        <w:t xml:space="preserve">de la GECAMINES  de l’exercice 2016 à la page </w:t>
      </w:r>
      <w:r w:rsidRPr="00AA5351">
        <w:rPr>
          <w:rFonts w:ascii="Times New Roman" w:hAnsi="Times New Roman"/>
          <w:sz w:val="24"/>
          <w:szCs w:val="24"/>
        </w:rPr>
        <w:t xml:space="preserve">page 28  renseignent une avance sur royalties de 61,1 millions de dollars américains reçue </w:t>
      </w:r>
      <w:r>
        <w:rPr>
          <w:rFonts w:ascii="Times New Roman" w:hAnsi="Times New Roman"/>
          <w:sz w:val="24"/>
          <w:szCs w:val="24"/>
        </w:rPr>
        <w:t xml:space="preserve">par cette dernière  </w:t>
      </w:r>
      <w:r w:rsidRPr="00AA5351">
        <w:rPr>
          <w:rFonts w:ascii="Times New Roman" w:hAnsi="Times New Roman"/>
          <w:sz w:val="24"/>
          <w:szCs w:val="24"/>
        </w:rPr>
        <w:t>en 2016. L’entreprise n’indique nulle part avoir transféré au Trésor Public la part l</w:t>
      </w:r>
      <w:r w:rsidR="00373401">
        <w:rPr>
          <w:rFonts w:ascii="Times New Roman" w:hAnsi="Times New Roman"/>
          <w:sz w:val="24"/>
          <w:szCs w:val="24"/>
        </w:rPr>
        <w:t xml:space="preserve">ui revenant soit  30,55 M USD. </w:t>
      </w:r>
      <w:r w:rsidRPr="00AA5351">
        <w:rPr>
          <w:rFonts w:ascii="Times New Roman" w:hAnsi="Times New Roman"/>
          <w:sz w:val="24"/>
          <w:szCs w:val="24"/>
        </w:rPr>
        <w:t xml:space="preserve">L’entreprise déclare avoir  reçu  en 2016 un montant de 19,2 </w:t>
      </w:r>
      <w:r w:rsidR="00373401">
        <w:rPr>
          <w:rFonts w:ascii="Times New Roman" w:hAnsi="Times New Roman"/>
          <w:sz w:val="24"/>
          <w:szCs w:val="24"/>
        </w:rPr>
        <w:t xml:space="preserve">MUSD au titre de pas de porte. </w:t>
      </w:r>
      <w:r w:rsidRPr="00AA5351">
        <w:rPr>
          <w:rFonts w:ascii="Times New Roman" w:hAnsi="Times New Roman"/>
          <w:sz w:val="24"/>
          <w:szCs w:val="24"/>
        </w:rPr>
        <w:t xml:space="preserve">Ses </w:t>
      </w:r>
      <w:r>
        <w:rPr>
          <w:rFonts w:ascii="Times New Roman" w:hAnsi="Times New Roman"/>
          <w:sz w:val="24"/>
          <w:szCs w:val="24"/>
        </w:rPr>
        <w:t xml:space="preserve">mêmes </w:t>
      </w:r>
      <w:r w:rsidRPr="00AA5351">
        <w:rPr>
          <w:rFonts w:ascii="Times New Roman" w:hAnsi="Times New Roman"/>
          <w:sz w:val="24"/>
          <w:szCs w:val="24"/>
        </w:rPr>
        <w:t xml:space="preserve">états financiers renseignent   </w:t>
      </w:r>
      <w:r>
        <w:rPr>
          <w:rFonts w:ascii="Times New Roman" w:hAnsi="Times New Roman"/>
          <w:sz w:val="24"/>
          <w:szCs w:val="24"/>
        </w:rPr>
        <w:t xml:space="preserve">également </w:t>
      </w:r>
      <w:r w:rsidRPr="00AA5351">
        <w:rPr>
          <w:rFonts w:ascii="Times New Roman" w:hAnsi="Times New Roman"/>
          <w:sz w:val="24"/>
          <w:szCs w:val="24"/>
        </w:rPr>
        <w:t>aux pages 24  et 29 un pas de porte  de 4,8 M U</w:t>
      </w:r>
      <w:r>
        <w:rPr>
          <w:rFonts w:ascii="Times New Roman" w:hAnsi="Times New Roman"/>
          <w:sz w:val="24"/>
          <w:szCs w:val="24"/>
        </w:rPr>
        <w:t>SD</w:t>
      </w:r>
      <w:r w:rsidRPr="00AA5351">
        <w:rPr>
          <w:rFonts w:ascii="Times New Roman" w:hAnsi="Times New Roman"/>
          <w:sz w:val="24"/>
          <w:szCs w:val="24"/>
        </w:rPr>
        <w:t xml:space="preserve"> à recevoir en 2016 ainsi qu’un autre pas de porte de 125 millions $U</w:t>
      </w:r>
      <w:r w:rsidR="00D256CC" w:rsidRPr="00AA5351">
        <w:rPr>
          <w:rFonts w:ascii="Times New Roman" w:hAnsi="Times New Roman"/>
          <w:sz w:val="24"/>
          <w:szCs w:val="24"/>
        </w:rPr>
        <w:t>SD</w:t>
      </w:r>
      <w:r w:rsidRPr="00AA5351">
        <w:rPr>
          <w:rFonts w:ascii="Times New Roman" w:hAnsi="Times New Roman"/>
          <w:sz w:val="24"/>
          <w:szCs w:val="24"/>
        </w:rPr>
        <w:t xml:space="preserve">   versé   directement au trésor public, montant qui  n’a pas été déclaré à l’ITIE –RDC 2016. Les parts revenant à chaque partie ne sont pas précisées.</w:t>
      </w:r>
    </w:p>
    <w:p w14:paraId="6260999C" w14:textId="3AC1320F" w:rsidR="00923952" w:rsidRDefault="00923952">
      <w:pPr>
        <w:rPr>
          <w:rFonts w:ascii="Times New Roman" w:hAnsi="Times New Roman"/>
          <w:sz w:val="24"/>
          <w:szCs w:val="24"/>
        </w:rPr>
      </w:pPr>
      <w:r>
        <w:rPr>
          <w:noProof/>
          <w:lang w:eastAsia="fr-FR"/>
        </w:rPr>
        <mc:AlternateContent>
          <mc:Choice Requires="wps">
            <w:drawing>
              <wp:anchor distT="0" distB="0" distL="114300" distR="114300" simplePos="0" relativeHeight="251682816" behindDoc="0" locked="0" layoutInCell="1" allowOverlap="1" wp14:anchorId="20AA4431" wp14:editId="38C34C8A">
                <wp:simplePos x="0" y="0"/>
                <wp:positionH relativeFrom="margin">
                  <wp:align>right</wp:align>
                </wp:positionH>
                <wp:positionV relativeFrom="paragraph">
                  <wp:posOffset>60828</wp:posOffset>
                </wp:positionV>
                <wp:extent cx="5892288" cy="1277471"/>
                <wp:effectExtent l="0" t="0" r="13335" b="18415"/>
                <wp:wrapNone/>
                <wp:docPr id="21" name="Zone de texte 21"/>
                <wp:cNvGraphicFramePr/>
                <a:graphic xmlns:a="http://schemas.openxmlformats.org/drawingml/2006/main">
                  <a:graphicData uri="http://schemas.microsoft.com/office/word/2010/wordprocessingShape">
                    <wps:wsp>
                      <wps:cNvSpPr txBox="1"/>
                      <wps:spPr>
                        <a:xfrm>
                          <a:off x="0" y="0"/>
                          <a:ext cx="5892288" cy="1277471"/>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EF1E996" w14:textId="5BB662CB" w:rsidR="00553BF2" w:rsidRPr="00753E9A" w:rsidRDefault="00553BF2" w:rsidP="00923952">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119AF942" w14:textId="77777777" w:rsidR="00553BF2" w:rsidRPr="00EF425B" w:rsidRDefault="00553BF2" w:rsidP="00923952">
                            <w:pPr>
                              <w:rPr>
                                <w:rFonts w:ascii="Times New Roman" w:hAnsi="Times New Roman"/>
                                <w:b/>
                                <w:color w:val="262626" w:themeColor="text1" w:themeTint="D9"/>
                                <w:sz w:val="24"/>
                                <w:szCs w:val="24"/>
                              </w:rPr>
                            </w:pPr>
                            <w:r w:rsidRPr="00EF425B">
                              <w:rPr>
                                <w:rFonts w:ascii="Times New Roman" w:hAnsi="Times New Roman"/>
                                <w:b/>
                                <w:color w:val="262626" w:themeColor="text1" w:themeTint="D9"/>
                                <w:sz w:val="24"/>
                                <w:szCs w:val="24"/>
                              </w:rPr>
                              <w:t>Au Gouvernement  et à la GECAMINES de :</w:t>
                            </w:r>
                          </w:p>
                          <w:p w14:paraId="015923AF" w14:textId="77777777" w:rsidR="00553BF2" w:rsidRPr="00753E9A" w:rsidRDefault="00553BF2" w:rsidP="00923952">
                            <w:pPr>
                              <w:jc w:val="both"/>
                              <w:rPr>
                                <w:rFonts w:ascii="Times New Roman" w:hAnsi="Times New Roman"/>
                              </w:rPr>
                            </w:pPr>
                            <w:r w:rsidRPr="00753E9A">
                              <w:rPr>
                                <w:rFonts w:ascii="Times New Roman" w:hAnsi="Times New Roman"/>
                              </w:rPr>
                              <w:t>Veiller au respect et à l’application stricte</w:t>
                            </w:r>
                            <w:r>
                              <w:rPr>
                                <w:rFonts w:ascii="Times New Roman" w:hAnsi="Times New Roman"/>
                                <w:shd w:val="clear" w:color="auto" w:fill="E7E6E6" w:themeFill="background2"/>
                              </w:rPr>
                              <w:t xml:space="preserve"> </w:t>
                            </w:r>
                            <w:r w:rsidRPr="00753E9A">
                              <w:rPr>
                                <w:rFonts w:ascii="Times New Roman" w:hAnsi="Times New Roman"/>
                              </w:rPr>
                              <w:t>des dispositions  de la loi des Finance</w:t>
                            </w:r>
                            <w:r>
                              <w:rPr>
                                <w:rFonts w:ascii="Times New Roman" w:hAnsi="Times New Roman"/>
                              </w:rPr>
                              <w:t xml:space="preserve">s n°15/021 du 31 décembre 2015 </w:t>
                            </w:r>
                            <w:r w:rsidRPr="00753E9A">
                              <w:rPr>
                                <w:rFonts w:ascii="Times New Roman" w:hAnsi="Times New Roman"/>
                              </w:rPr>
                              <w:t>relatives au partage des recettes de royalties et pas</w:t>
                            </w:r>
                            <w:r>
                              <w:rPr>
                                <w:rFonts w:ascii="Times New Roman" w:hAnsi="Times New Roman"/>
                              </w:rPr>
                              <w:t>-de-</w:t>
                            </w:r>
                            <w:r w:rsidRPr="00753E9A">
                              <w:rPr>
                                <w:rFonts w:ascii="Times New Roman" w:hAnsi="Times New Roman"/>
                              </w:rPr>
                              <w:t xml:space="preserve">porte entre les EPE et le Gouvernement. </w:t>
                            </w:r>
                          </w:p>
                          <w:p w14:paraId="53BAA7B8" w14:textId="77777777" w:rsidR="00553BF2" w:rsidRDefault="00553BF2" w:rsidP="00923952">
                            <w:pPr>
                              <w:pStyle w:val="Paragraphedeliste"/>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A4431" id="Zone de texte 21" o:spid="_x0000_s1037" type="#_x0000_t202" style="position:absolute;margin-left:412.75pt;margin-top:4.8pt;width:463.95pt;height:100.6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" fillcolor="#deeaf6 [660]" strokecolor="#deeaf6 [660]" strokeweight=".5pt">
                <v:textbox>
                  <w:txbxContent>
                    <w:p w14:paraId="2EF1E996" w14:textId="5BB662CB" w:rsidR="00553BF2" w:rsidRPr="00753E9A" w:rsidRDefault="00553BF2" w:rsidP="00923952">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119AF942" w14:textId="77777777" w:rsidR="00553BF2" w:rsidRPr="00EF425B" w:rsidRDefault="00553BF2" w:rsidP="00923952">
                      <w:pPr>
                        <w:rPr>
                          <w:rFonts w:ascii="Times New Roman" w:hAnsi="Times New Roman"/>
                          <w:b/>
                          <w:color w:val="262626" w:themeColor="text1" w:themeTint="D9"/>
                          <w:sz w:val="24"/>
                          <w:szCs w:val="24"/>
                        </w:rPr>
                      </w:pPr>
                      <w:r w:rsidRPr="00EF425B">
                        <w:rPr>
                          <w:rFonts w:ascii="Times New Roman" w:hAnsi="Times New Roman"/>
                          <w:b/>
                          <w:color w:val="262626" w:themeColor="text1" w:themeTint="D9"/>
                          <w:sz w:val="24"/>
                          <w:szCs w:val="24"/>
                        </w:rPr>
                        <w:t>Au Gouvernement  et à la GECAMINES de :</w:t>
                      </w:r>
                    </w:p>
                    <w:p w14:paraId="015923AF" w14:textId="77777777" w:rsidR="00553BF2" w:rsidRPr="00753E9A" w:rsidRDefault="00553BF2" w:rsidP="00923952">
                      <w:pPr>
                        <w:jc w:val="both"/>
                        <w:rPr>
                          <w:rFonts w:ascii="Times New Roman" w:hAnsi="Times New Roman"/>
                        </w:rPr>
                      </w:pPr>
                      <w:r w:rsidRPr="00753E9A">
                        <w:rPr>
                          <w:rFonts w:ascii="Times New Roman" w:hAnsi="Times New Roman"/>
                        </w:rPr>
                        <w:t>Veiller au respect et à l’application stricte</w:t>
                      </w:r>
                      <w:r>
                        <w:rPr>
                          <w:rFonts w:ascii="Times New Roman" w:hAnsi="Times New Roman"/>
                          <w:shd w:val="clear" w:color="auto" w:fill="E7E6E6" w:themeFill="background2"/>
                        </w:rPr>
                        <w:t xml:space="preserve"> </w:t>
                      </w:r>
                      <w:r w:rsidRPr="00753E9A">
                        <w:rPr>
                          <w:rFonts w:ascii="Times New Roman" w:hAnsi="Times New Roman"/>
                        </w:rPr>
                        <w:t>des dispositions  de la loi des Finance</w:t>
                      </w:r>
                      <w:r>
                        <w:rPr>
                          <w:rFonts w:ascii="Times New Roman" w:hAnsi="Times New Roman"/>
                        </w:rPr>
                        <w:t xml:space="preserve">s n°15/021 du 31 décembre 2015 </w:t>
                      </w:r>
                      <w:r w:rsidRPr="00753E9A">
                        <w:rPr>
                          <w:rFonts w:ascii="Times New Roman" w:hAnsi="Times New Roman"/>
                        </w:rPr>
                        <w:t>relatives au partage des recettes de royalties et pas</w:t>
                      </w:r>
                      <w:r>
                        <w:rPr>
                          <w:rFonts w:ascii="Times New Roman" w:hAnsi="Times New Roman"/>
                        </w:rPr>
                        <w:t>-de-</w:t>
                      </w:r>
                      <w:r w:rsidRPr="00753E9A">
                        <w:rPr>
                          <w:rFonts w:ascii="Times New Roman" w:hAnsi="Times New Roman"/>
                        </w:rPr>
                        <w:t xml:space="preserve">porte entre les EPE et le Gouvernement. </w:t>
                      </w:r>
                    </w:p>
                    <w:p w14:paraId="53BAA7B8" w14:textId="77777777" w:rsidR="00553BF2" w:rsidRDefault="00553BF2" w:rsidP="00923952">
                      <w:pPr>
                        <w:pStyle w:val="Paragraphedeliste"/>
                        <w:ind w:left="284"/>
                      </w:pPr>
                    </w:p>
                  </w:txbxContent>
                </v:textbox>
                <w10:wrap anchorx="margin"/>
              </v:shape>
            </w:pict>
          </mc:Fallback>
        </mc:AlternateContent>
      </w:r>
      <w:r>
        <w:rPr>
          <w:rFonts w:ascii="Times New Roman" w:hAnsi="Times New Roman"/>
          <w:sz w:val="24"/>
          <w:szCs w:val="24"/>
        </w:rPr>
        <w:br w:type="page"/>
      </w:r>
    </w:p>
    <w:p w14:paraId="79E6974C" w14:textId="1561D4F0" w:rsidR="00F000B0" w:rsidRPr="00BC7A6E" w:rsidRDefault="000668F9" w:rsidP="00943F67">
      <w:pPr>
        <w:pStyle w:val="Titre3"/>
        <w:keepNext w:val="0"/>
        <w:keepLines w:val="0"/>
        <w:ind w:left="1134" w:hanging="850"/>
        <w:contextualSpacing w:val="0"/>
        <w:jc w:val="both"/>
        <w:rPr>
          <w:rFonts w:ascii="Times New Roman" w:hAnsi="Times New Roman" w:cs="Times New Roman"/>
          <w:sz w:val="24"/>
          <w:szCs w:val="24"/>
        </w:rPr>
      </w:pPr>
      <w:bookmarkStart w:id="187" w:name="_Toc518468107"/>
      <w:r>
        <w:rPr>
          <w:rFonts w:ascii="Times New Roman" w:hAnsi="Times New Roman" w:cs="Times New Roman"/>
          <w:sz w:val="24"/>
          <w:szCs w:val="24"/>
        </w:rPr>
        <w:lastRenderedPageBreak/>
        <w:t>IX</w:t>
      </w:r>
      <w:r w:rsidR="00BC7A6E" w:rsidRPr="00BC7A6E">
        <w:rPr>
          <w:rFonts w:ascii="Times New Roman" w:hAnsi="Times New Roman" w:cs="Times New Roman"/>
          <w:sz w:val="24"/>
          <w:szCs w:val="24"/>
        </w:rPr>
        <w:t>.5. De  la participat</w:t>
      </w:r>
      <w:r w:rsidR="00BC7A6E">
        <w:rPr>
          <w:rFonts w:ascii="Times New Roman" w:hAnsi="Times New Roman" w:cs="Times New Roman"/>
          <w:sz w:val="24"/>
          <w:szCs w:val="24"/>
        </w:rPr>
        <w:t>ion directe et indirecte  de l’E</w:t>
      </w:r>
      <w:r w:rsidR="00BC7A6E" w:rsidRPr="00BC7A6E">
        <w:rPr>
          <w:rFonts w:ascii="Times New Roman" w:hAnsi="Times New Roman" w:cs="Times New Roman"/>
          <w:sz w:val="24"/>
          <w:szCs w:val="24"/>
        </w:rPr>
        <w:t xml:space="preserve">tat en </w:t>
      </w:r>
      <w:r w:rsidR="00F000B0" w:rsidRPr="00BC7A6E">
        <w:rPr>
          <w:rFonts w:ascii="Times New Roman" w:hAnsi="Times New Roman" w:cs="Times New Roman"/>
          <w:sz w:val="24"/>
          <w:szCs w:val="24"/>
        </w:rPr>
        <w:t>2016</w:t>
      </w:r>
      <w:bookmarkEnd w:id="187"/>
    </w:p>
    <w:p w14:paraId="1E4742DC" w14:textId="77777777" w:rsidR="00F000B0" w:rsidRPr="00AA5351" w:rsidRDefault="00F000B0" w:rsidP="000738D3">
      <w:pPr>
        <w:pStyle w:val="Paragraphedeliste"/>
        <w:numPr>
          <w:ilvl w:val="0"/>
          <w:numId w:val="41"/>
        </w:numPr>
        <w:spacing w:after="160" w:line="259" w:lineRule="auto"/>
        <w:jc w:val="both"/>
        <w:rPr>
          <w:rFonts w:ascii="Times New Roman" w:hAnsi="Times New Roman" w:cs="Times New Roman"/>
          <w:color w:val="00B0F0"/>
          <w:sz w:val="24"/>
          <w:szCs w:val="24"/>
        </w:rPr>
      </w:pPr>
      <w:r w:rsidRPr="00AA5351">
        <w:rPr>
          <w:rFonts w:ascii="Times New Roman" w:hAnsi="Times New Roman" w:cs="Times New Roman"/>
          <w:color w:val="00B0F0"/>
          <w:sz w:val="24"/>
          <w:szCs w:val="24"/>
        </w:rPr>
        <w:t>Participation directe de l’Etat</w:t>
      </w:r>
    </w:p>
    <w:p w14:paraId="2EDCBC54" w14:textId="77777777" w:rsidR="00F000B0" w:rsidRPr="00B354ED" w:rsidRDefault="00F000B0" w:rsidP="00F000B0">
      <w:pPr>
        <w:spacing w:after="0"/>
        <w:ind w:left="567"/>
        <w:jc w:val="both"/>
        <w:rPr>
          <w:rFonts w:ascii="Times New Roman" w:hAnsi="Times New Roman"/>
          <w:b/>
          <w:sz w:val="24"/>
          <w:szCs w:val="24"/>
          <w:u w:val="single"/>
        </w:rPr>
      </w:pPr>
      <w:r w:rsidRPr="00B354ED">
        <w:rPr>
          <w:rFonts w:ascii="Times New Roman" w:hAnsi="Times New Roman"/>
          <w:b/>
          <w:sz w:val="24"/>
          <w:szCs w:val="24"/>
          <w:u w:val="single"/>
        </w:rPr>
        <w:t>Secteur pétrolier</w:t>
      </w:r>
    </w:p>
    <w:p w14:paraId="6531A427" w14:textId="77777777" w:rsidR="00F000B0" w:rsidRPr="00AA5351" w:rsidRDefault="00F000B0" w:rsidP="00F000B0">
      <w:pPr>
        <w:spacing w:after="0"/>
        <w:jc w:val="both"/>
        <w:rPr>
          <w:rFonts w:ascii="Times New Roman" w:hAnsi="Times New Roman"/>
          <w:sz w:val="24"/>
          <w:szCs w:val="24"/>
        </w:rPr>
      </w:pPr>
    </w:p>
    <w:p w14:paraId="3C734A81" w14:textId="77777777" w:rsidR="00F000B0" w:rsidRPr="00AA5351" w:rsidRDefault="00F000B0" w:rsidP="00F000B0">
      <w:pPr>
        <w:ind w:left="567"/>
        <w:jc w:val="both"/>
        <w:rPr>
          <w:rFonts w:ascii="Times New Roman" w:hAnsi="Times New Roman"/>
          <w:sz w:val="24"/>
          <w:szCs w:val="24"/>
        </w:rPr>
      </w:pPr>
      <w:r w:rsidRPr="00AA5351">
        <w:rPr>
          <w:rFonts w:ascii="Times New Roman" w:hAnsi="Times New Roman"/>
          <w:sz w:val="24"/>
          <w:szCs w:val="24"/>
        </w:rPr>
        <w:t>Selon  les données du Ministère du Portefeuille et celles de la SONAH</w:t>
      </w:r>
      <w:r>
        <w:rPr>
          <w:rFonts w:ascii="Times New Roman" w:hAnsi="Times New Roman"/>
          <w:sz w:val="24"/>
          <w:szCs w:val="24"/>
        </w:rPr>
        <w:t>Y</w:t>
      </w:r>
      <w:r w:rsidRPr="00AA5351">
        <w:rPr>
          <w:rFonts w:ascii="Times New Roman" w:hAnsi="Times New Roman"/>
          <w:sz w:val="24"/>
          <w:szCs w:val="24"/>
        </w:rPr>
        <w:t>DROC, la situation de la participation  directe de l’Etat en 2016 se présente comme suit :</w:t>
      </w:r>
    </w:p>
    <w:p w14:paraId="2DFE04A4" w14:textId="77777777" w:rsidR="00F000B0" w:rsidRPr="00AA5351" w:rsidRDefault="00F000B0" w:rsidP="00F000B0">
      <w:pPr>
        <w:spacing w:after="0"/>
        <w:jc w:val="both"/>
        <w:rPr>
          <w:rFonts w:ascii="Times New Roman" w:hAnsi="Times New Roman"/>
          <w:sz w:val="24"/>
          <w:szCs w:val="24"/>
        </w:rPr>
      </w:pPr>
    </w:p>
    <w:tbl>
      <w:tblPr>
        <w:tblStyle w:val="TableauGrille1Clair-Accentuation11"/>
        <w:tblW w:w="8784" w:type="dxa"/>
        <w:tblInd w:w="534" w:type="dxa"/>
        <w:tblLayout w:type="fixed"/>
        <w:tblLook w:val="04A0" w:firstRow="1" w:lastRow="0" w:firstColumn="1" w:lastColumn="0" w:noHBand="0" w:noVBand="1"/>
      </w:tblPr>
      <w:tblGrid>
        <w:gridCol w:w="562"/>
        <w:gridCol w:w="2240"/>
        <w:gridCol w:w="1729"/>
        <w:gridCol w:w="567"/>
        <w:gridCol w:w="1974"/>
        <w:gridCol w:w="1712"/>
      </w:tblGrid>
      <w:tr w:rsidR="00F000B0" w:rsidRPr="00B354ED" w14:paraId="0013578E"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504CFE3"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240" w:type="dxa"/>
          </w:tcPr>
          <w:p w14:paraId="24A7F5CF"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5A8DBE78"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0AD0EB3F"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0BDD87B6"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4CAC10F5"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AA5351" w14:paraId="5D645495"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0112A02E"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1</w:t>
            </w:r>
          </w:p>
        </w:tc>
        <w:tc>
          <w:tcPr>
            <w:tcW w:w="2240" w:type="dxa"/>
          </w:tcPr>
          <w:p w14:paraId="4297C407"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SONAHYDROC</w:t>
            </w:r>
          </w:p>
        </w:tc>
        <w:tc>
          <w:tcPr>
            <w:tcW w:w="1729" w:type="dxa"/>
          </w:tcPr>
          <w:p w14:paraId="53481454"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100</w:t>
            </w:r>
          </w:p>
        </w:tc>
        <w:tc>
          <w:tcPr>
            <w:tcW w:w="567" w:type="dxa"/>
          </w:tcPr>
          <w:p w14:paraId="0F40CA3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5</w:t>
            </w:r>
          </w:p>
        </w:tc>
        <w:tc>
          <w:tcPr>
            <w:tcW w:w="1974" w:type="dxa"/>
          </w:tcPr>
          <w:p w14:paraId="439B32F8"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FOXWELP</w:t>
            </w:r>
          </w:p>
        </w:tc>
        <w:tc>
          <w:tcPr>
            <w:tcW w:w="1712" w:type="dxa"/>
          </w:tcPr>
          <w:p w14:paraId="33FF1F66"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703DB9A3"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6D0DD1BC"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2</w:t>
            </w:r>
          </w:p>
        </w:tc>
        <w:tc>
          <w:tcPr>
            <w:tcW w:w="2240" w:type="dxa"/>
          </w:tcPr>
          <w:p w14:paraId="463411EE"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JAPECO</w:t>
            </w:r>
          </w:p>
        </w:tc>
        <w:tc>
          <w:tcPr>
            <w:tcW w:w="1729" w:type="dxa"/>
          </w:tcPr>
          <w:p w14:paraId="56A0C262"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704E0B2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6</w:t>
            </w:r>
          </w:p>
        </w:tc>
        <w:tc>
          <w:tcPr>
            <w:tcW w:w="1974" w:type="dxa"/>
          </w:tcPr>
          <w:p w14:paraId="7D0EEA66"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CAPRIKAT</w:t>
            </w:r>
          </w:p>
        </w:tc>
        <w:tc>
          <w:tcPr>
            <w:tcW w:w="1712" w:type="dxa"/>
          </w:tcPr>
          <w:p w14:paraId="40434869"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635DA34C"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0B0785B9"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3</w:t>
            </w:r>
          </w:p>
        </w:tc>
        <w:tc>
          <w:tcPr>
            <w:tcW w:w="2240" w:type="dxa"/>
          </w:tcPr>
          <w:p w14:paraId="3AA1C613"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SOREPLICO</w:t>
            </w:r>
          </w:p>
        </w:tc>
        <w:tc>
          <w:tcPr>
            <w:tcW w:w="1729" w:type="dxa"/>
          </w:tcPr>
          <w:p w14:paraId="6B38A5C2"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773C020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7</w:t>
            </w:r>
          </w:p>
        </w:tc>
        <w:tc>
          <w:tcPr>
            <w:tcW w:w="1974" w:type="dxa"/>
          </w:tcPr>
          <w:p w14:paraId="5426BECD"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SOCOREP</w:t>
            </w:r>
          </w:p>
        </w:tc>
        <w:tc>
          <w:tcPr>
            <w:tcW w:w="1712" w:type="dxa"/>
          </w:tcPr>
          <w:p w14:paraId="6D72ACD7"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15</w:t>
            </w:r>
          </w:p>
        </w:tc>
      </w:tr>
      <w:tr w:rsidR="00F000B0" w:rsidRPr="00AA5351" w14:paraId="2ADE0358"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1A4E89BB"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4</w:t>
            </w:r>
          </w:p>
        </w:tc>
        <w:tc>
          <w:tcPr>
            <w:tcW w:w="2240" w:type="dxa"/>
          </w:tcPr>
          <w:p w14:paraId="52068CB8"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SOLICO</w:t>
            </w:r>
          </w:p>
        </w:tc>
        <w:tc>
          <w:tcPr>
            <w:tcW w:w="1729" w:type="dxa"/>
          </w:tcPr>
          <w:p w14:paraId="60515B1D"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20</w:t>
            </w:r>
          </w:p>
        </w:tc>
        <w:tc>
          <w:tcPr>
            <w:tcW w:w="567" w:type="dxa"/>
          </w:tcPr>
          <w:p w14:paraId="2C21536F"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B354ED">
              <w:rPr>
                <w:rFonts w:ascii="Times New Roman" w:hAnsi="Times New Roman"/>
                <w:b/>
                <w:sz w:val="24"/>
                <w:szCs w:val="24"/>
              </w:rPr>
              <w:t>8</w:t>
            </w:r>
          </w:p>
        </w:tc>
        <w:tc>
          <w:tcPr>
            <w:tcW w:w="1974" w:type="dxa"/>
          </w:tcPr>
          <w:p w14:paraId="158A9262" w14:textId="77777777" w:rsidR="00F000B0" w:rsidRPr="00AA5351"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KINREX</w:t>
            </w:r>
          </w:p>
        </w:tc>
        <w:tc>
          <w:tcPr>
            <w:tcW w:w="1712" w:type="dxa"/>
          </w:tcPr>
          <w:p w14:paraId="001E70E7" w14:textId="77777777" w:rsidR="00F000B0" w:rsidRPr="00AA5351"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5351">
              <w:rPr>
                <w:rFonts w:ascii="Times New Roman" w:hAnsi="Times New Roman"/>
                <w:sz w:val="24"/>
                <w:szCs w:val="24"/>
              </w:rPr>
              <w:t>12,75</w:t>
            </w:r>
          </w:p>
        </w:tc>
      </w:tr>
    </w:tbl>
    <w:p w14:paraId="22330E01" w14:textId="77777777" w:rsidR="00F000B0" w:rsidRPr="00B354ED" w:rsidRDefault="00F000B0" w:rsidP="00F000B0">
      <w:pPr>
        <w:spacing w:after="0"/>
        <w:jc w:val="both"/>
        <w:rPr>
          <w:rFonts w:ascii="Times New Roman" w:hAnsi="Times New Roman"/>
          <w:sz w:val="18"/>
          <w:szCs w:val="18"/>
        </w:rPr>
      </w:pPr>
      <w:r w:rsidRPr="00B354ED">
        <w:rPr>
          <w:rFonts w:ascii="Times New Roman" w:hAnsi="Times New Roman"/>
          <w:sz w:val="18"/>
          <w:szCs w:val="18"/>
        </w:rPr>
        <w:t>Source : Ministère du Portefeuille</w:t>
      </w:r>
    </w:p>
    <w:p w14:paraId="1BAD05B8" w14:textId="77777777" w:rsidR="00F000B0" w:rsidRDefault="00F000B0" w:rsidP="00F000B0">
      <w:pPr>
        <w:spacing w:after="0"/>
        <w:jc w:val="both"/>
        <w:rPr>
          <w:rFonts w:ascii="Times New Roman" w:hAnsi="Times New Roman"/>
          <w:b/>
          <w:sz w:val="24"/>
          <w:szCs w:val="24"/>
        </w:rPr>
      </w:pPr>
    </w:p>
    <w:p w14:paraId="2A685FC2" w14:textId="05F8ED3C" w:rsidR="00F000B0" w:rsidRPr="00AA5351" w:rsidRDefault="008120D4" w:rsidP="00F000B0">
      <w:pPr>
        <w:spacing w:after="0"/>
        <w:jc w:val="both"/>
        <w:rPr>
          <w:rFonts w:ascii="Times New Roman" w:hAnsi="Times New Roman"/>
          <w:sz w:val="24"/>
          <w:szCs w:val="24"/>
        </w:rPr>
      </w:pPr>
      <w:r>
        <w:rPr>
          <w:rFonts w:ascii="Times New Roman" w:hAnsi="Times New Roman"/>
          <w:noProof/>
          <w:sz w:val="24"/>
          <w:szCs w:val="24"/>
          <w:lang w:eastAsia="fr-FR"/>
        </w:rPr>
        <mc:AlternateContent>
          <mc:Choice Requires="wps">
            <w:drawing>
              <wp:anchor distT="0" distB="0" distL="114300" distR="114300" simplePos="0" relativeHeight="251667456" behindDoc="0" locked="0" layoutInCell="1" allowOverlap="1" wp14:anchorId="39B1D8A9" wp14:editId="360E1463">
                <wp:simplePos x="0" y="0"/>
                <wp:positionH relativeFrom="column">
                  <wp:posOffset>14605</wp:posOffset>
                </wp:positionH>
                <wp:positionV relativeFrom="paragraph">
                  <wp:posOffset>6668</wp:posOffset>
                </wp:positionV>
                <wp:extent cx="5919788" cy="1033462"/>
                <wp:effectExtent l="0" t="0" r="24130" b="14605"/>
                <wp:wrapNone/>
                <wp:docPr id="19" name="Zone de texte 19"/>
                <wp:cNvGraphicFramePr/>
                <a:graphic xmlns:a="http://schemas.openxmlformats.org/drawingml/2006/main">
                  <a:graphicData uri="http://schemas.microsoft.com/office/word/2010/wordprocessingShape">
                    <wps:wsp>
                      <wps:cNvSpPr txBox="1"/>
                      <wps:spPr>
                        <a:xfrm>
                          <a:off x="0" y="0"/>
                          <a:ext cx="5919788" cy="1033462"/>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3EEA69D" w14:textId="77777777" w:rsidR="00553BF2" w:rsidRPr="008120D4" w:rsidRDefault="00553BF2" w:rsidP="008120D4">
                            <w:pPr>
                              <w:spacing w:after="0"/>
                              <w:jc w:val="both"/>
                              <w:rPr>
                                <w:rFonts w:ascii="Times New Roman" w:hAnsi="Times New Roman"/>
                                <w:sz w:val="24"/>
                                <w:szCs w:val="24"/>
                              </w:rPr>
                            </w:pPr>
                            <w:r w:rsidRPr="008120D4">
                              <w:rPr>
                                <w:rFonts w:ascii="Times New Roman" w:hAnsi="Times New Roman"/>
                                <w:b/>
                                <w:sz w:val="24"/>
                                <w:szCs w:val="24"/>
                              </w:rPr>
                              <w:t>Note</w:t>
                            </w:r>
                            <w:r w:rsidRPr="008120D4">
                              <w:rPr>
                                <w:rFonts w:ascii="Times New Roman" w:hAnsi="Times New Roman"/>
                                <w:sz w:val="24"/>
                                <w:szCs w:val="24"/>
                              </w:rPr>
                              <w:t xml:space="preserve"> : </w:t>
                            </w:r>
                          </w:p>
                          <w:p w14:paraId="1E53E7C1" w14:textId="457AA429" w:rsidR="00553BF2" w:rsidRPr="008120D4" w:rsidRDefault="00553BF2" w:rsidP="008120D4">
                            <w:pPr>
                              <w:spacing w:after="0"/>
                              <w:jc w:val="both"/>
                              <w:rPr>
                                <w:rFonts w:ascii="Times New Roman" w:hAnsi="Times New Roman"/>
                                <w:sz w:val="24"/>
                                <w:szCs w:val="24"/>
                              </w:rPr>
                            </w:pPr>
                            <w:r w:rsidRPr="008120D4">
                              <w:rPr>
                                <w:rFonts w:ascii="Times New Roman" w:hAnsi="Times New Roman"/>
                                <w:sz w:val="24"/>
                                <w:szCs w:val="24"/>
                              </w:rPr>
                              <w:t xml:space="preserve">Seule SONAHYDROC participe à la déclaration ITIE. Les autres entreprises sont des concessionnaires qui ont  amodié leurs titres.  Elles sont donc  inactives et n’ont  aucune obligation vis-à-vis de l’Etat si ce n’est qu’à travers leurs operateurs qui  participent aux déclarations ITIE.  </w:t>
                            </w:r>
                          </w:p>
                          <w:p w14:paraId="559B05F9" w14:textId="77777777" w:rsidR="00553BF2" w:rsidRDefault="00553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B1D8A9" id="Zone de texte 19" o:spid="_x0000_s1038" type="#_x0000_t202" style="position:absolute;left:0;text-align:left;margin-left:1.15pt;margin-top:.55pt;width:466.15pt;height:81.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" fillcolor="#fff2cc [663]" strokecolor="#fff2cc [663]" strokeweight=".5pt">
                <v:textbox>
                  <w:txbxContent>
                    <w:p w14:paraId="13EEA69D" w14:textId="77777777" w:rsidR="00553BF2" w:rsidRPr="008120D4" w:rsidRDefault="00553BF2" w:rsidP="008120D4">
                      <w:pPr>
                        <w:spacing w:after="0"/>
                        <w:jc w:val="both"/>
                        <w:rPr>
                          <w:rFonts w:ascii="Times New Roman" w:hAnsi="Times New Roman"/>
                          <w:sz w:val="24"/>
                          <w:szCs w:val="24"/>
                        </w:rPr>
                      </w:pPr>
                      <w:r w:rsidRPr="008120D4">
                        <w:rPr>
                          <w:rFonts w:ascii="Times New Roman" w:hAnsi="Times New Roman"/>
                          <w:b/>
                          <w:sz w:val="24"/>
                          <w:szCs w:val="24"/>
                        </w:rPr>
                        <w:t>Note</w:t>
                      </w:r>
                      <w:r w:rsidRPr="008120D4">
                        <w:rPr>
                          <w:rFonts w:ascii="Times New Roman" w:hAnsi="Times New Roman"/>
                          <w:sz w:val="24"/>
                          <w:szCs w:val="24"/>
                        </w:rPr>
                        <w:t xml:space="preserve"> : </w:t>
                      </w:r>
                    </w:p>
                    <w:p w14:paraId="1E53E7C1" w14:textId="457AA429" w:rsidR="00553BF2" w:rsidRPr="008120D4" w:rsidRDefault="00553BF2" w:rsidP="008120D4">
                      <w:pPr>
                        <w:spacing w:after="0"/>
                        <w:jc w:val="both"/>
                        <w:rPr>
                          <w:rFonts w:ascii="Times New Roman" w:hAnsi="Times New Roman"/>
                          <w:sz w:val="24"/>
                          <w:szCs w:val="24"/>
                        </w:rPr>
                      </w:pPr>
                      <w:r w:rsidRPr="008120D4">
                        <w:rPr>
                          <w:rFonts w:ascii="Times New Roman" w:hAnsi="Times New Roman"/>
                          <w:sz w:val="24"/>
                          <w:szCs w:val="24"/>
                        </w:rPr>
                        <w:t xml:space="preserve">Seule SONAHYDROC participe à la déclaration ITIE. Les autres entreprises sont des concessionnaires qui ont  amodié leurs titres.  Elles sont donc  inactives et n’ont  aucune obligation vis-à-vis de l’Etat si ce n’est qu’à travers leurs operateurs qui  participent aux déclarations ITIE.  </w:t>
                      </w:r>
                    </w:p>
                    <w:p w14:paraId="559B05F9" w14:textId="77777777" w:rsidR="00553BF2" w:rsidRDefault="00553BF2"/>
                  </w:txbxContent>
                </v:textbox>
              </v:shape>
            </w:pict>
          </mc:Fallback>
        </mc:AlternateContent>
      </w:r>
    </w:p>
    <w:p w14:paraId="028F1A50" w14:textId="77777777" w:rsidR="008120D4" w:rsidRDefault="008120D4">
      <w:pPr>
        <w:rPr>
          <w:rFonts w:ascii="Times New Roman" w:hAnsi="Times New Roman"/>
          <w:b/>
          <w:sz w:val="24"/>
          <w:szCs w:val="24"/>
          <w:u w:val="single"/>
        </w:rPr>
      </w:pPr>
      <w:r>
        <w:rPr>
          <w:rFonts w:ascii="Times New Roman" w:hAnsi="Times New Roman"/>
          <w:b/>
          <w:sz w:val="24"/>
          <w:szCs w:val="24"/>
          <w:u w:val="single"/>
        </w:rPr>
        <w:br w:type="page"/>
      </w:r>
    </w:p>
    <w:p w14:paraId="012E5E03" w14:textId="2509C31E" w:rsidR="00F000B0" w:rsidRPr="00B354ED" w:rsidRDefault="00F000B0" w:rsidP="00F000B0">
      <w:pPr>
        <w:spacing w:after="0"/>
        <w:ind w:left="567"/>
        <w:jc w:val="both"/>
        <w:rPr>
          <w:rFonts w:ascii="Times New Roman" w:hAnsi="Times New Roman"/>
          <w:b/>
          <w:sz w:val="24"/>
          <w:szCs w:val="24"/>
          <w:u w:val="single"/>
        </w:rPr>
      </w:pPr>
      <w:r w:rsidRPr="00B354ED">
        <w:rPr>
          <w:rFonts w:ascii="Times New Roman" w:hAnsi="Times New Roman"/>
          <w:b/>
          <w:sz w:val="24"/>
          <w:szCs w:val="24"/>
          <w:u w:val="single"/>
        </w:rPr>
        <w:lastRenderedPageBreak/>
        <w:t>Secteur Minier</w:t>
      </w:r>
    </w:p>
    <w:p w14:paraId="6AD945F8" w14:textId="77777777" w:rsidR="00F000B0" w:rsidRPr="00B354ED" w:rsidRDefault="00F000B0" w:rsidP="00F000B0">
      <w:pPr>
        <w:spacing w:after="0"/>
        <w:ind w:left="567"/>
        <w:jc w:val="both"/>
        <w:rPr>
          <w:rFonts w:ascii="Times New Roman" w:hAnsi="Times New Roman"/>
          <w:b/>
          <w:sz w:val="24"/>
          <w:szCs w:val="24"/>
          <w:u w:val="single"/>
        </w:rPr>
      </w:pPr>
    </w:p>
    <w:p w14:paraId="2C5E33BB" w14:textId="77777777" w:rsidR="00F000B0" w:rsidRPr="00AA5351" w:rsidRDefault="00F000B0" w:rsidP="00F000B0">
      <w:pPr>
        <w:ind w:left="567"/>
        <w:jc w:val="both"/>
        <w:rPr>
          <w:rFonts w:ascii="Times New Roman" w:hAnsi="Times New Roman"/>
          <w:sz w:val="24"/>
          <w:szCs w:val="24"/>
        </w:rPr>
      </w:pPr>
      <w:r w:rsidRPr="00AA5351">
        <w:rPr>
          <w:rFonts w:ascii="Times New Roman" w:hAnsi="Times New Roman"/>
          <w:sz w:val="24"/>
          <w:szCs w:val="24"/>
        </w:rPr>
        <w:t>Le  résultat du rapprochement des données reçues  du Ministère du Portefeuille avec  celles des 8 EPE minières se présente de la manière ci-après :</w:t>
      </w:r>
    </w:p>
    <w:p w14:paraId="34F35CE2" w14:textId="77777777" w:rsidR="00F000B0" w:rsidRPr="00AA5351" w:rsidRDefault="00F000B0" w:rsidP="000738D3">
      <w:pPr>
        <w:pStyle w:val="Paragraphedeliste"/>
        <w:numPr>
          <w:ilvl w:val="0"/>
          <w:numId w:val="43"/>
        </w:numPr>
        <w:spacing w:after="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 xml:space="preserve">Participation majoritaire </w:t>
      </w:r>
    </w:p>
    <w:p w14:paraId="773F1CAB" w14:textId="77777777" w:rsidR="00F000B0" w:rsidRPr="004C418F" w:rsidRDefault="00F000B0" w:rsidP="00F000B0">
      <w:pPr>
        <w:pStyle w:val="Sansinterligne"/>
      </w:pPr>
    </w:p>
    <w:tbl>
      <w:tblPr>
        <w:tblStyle w:val="TableauGrille1Clair-Accentuation11"/>
        <w:tblW w:w="0" w:type="auto"/>
        <w:tblInd w:w="392" w:type="dxa"/>
        <w:tblLayout w:type="fixed"/>
        <w:tblLook w:val="04A0" w:firstRow="1" w:lastRow="0" w:firstColumn="1" w:lastColumn="0" w:noHBand="0" w:noVBand="1"/>
      </w:tblPr>
      <w:tblGrid>
        <w:gridCol w:w="562"/>
        <w:gridCol w:w="2240"/>
        <w:gridCol w:w="1729"/>
        <w:gridCol w:w="567"/>
        <w:gridCol w:w="1974"/>
        <w:gridCol w:w="1712"/>
      </w:tblGrid>
      <w:tr w:rsidR="00F000B0" w:rsidRPr="00B354ED" w14:paraId="072B3C8B"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3BD2C4"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240" w:type="dxa"/>
          </w:tcPr>
          <w:p w14:paraId="511192C7"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2A38B383"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5C4B6C8C"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54902D65"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3A2A632B"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B354ED" w14:paraId="412B8E08"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20BE64C2"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1</w:t>
            </w:r>
          </w:p>
        </w:tc>
        <w:tc>
          <w:tcPr>
            <w:tcW w:w="2240" w:type="dxa"/>
          </w:tcPr>
          <w:p w14:paraId="432C2C2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GECAMINES</w:t>
            </w:r>
          </w:p>
        </w:tc>
        <w:tc>
          <w:tcPr>
            <w:tcW w:w="1729" w:type="dxa"/>
          </w:tcPr>
          <w:p w14:paraId="10A6F7E4"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708094E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1974" w:type="dxa"/>
          </w:tcPr>
          <w:p w14:paraId="0FDC7EA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SAKIMA</w:t>
            </w:r>
          </w:p>
        </w:tc>
        <w:tc>
          <w:tcPr>
            <w:tcW w:w="1712" w:type="dxa"/>
          </w:tcPr>
          <w:p w14:paraId="18F319A5"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r>
      <w:tr w:rsidR="00F000B0" w:rsidRPr="00B354ED" w14:paraId="6ABE9843"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3EF4A07F"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2</w:t>
            </w:r>
          </w:p>
        </w:tc>
        <w:tc>
          <w:tcPr>
            <w:tcW w:w="2240" w:type="dxa"/>
          </w:tcPr>
          <w:p w14:paraId="49BE0EF0"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SODIMICO</w:t>
            </w:r>
          </w:p>
        </w:tc>
        <w:tc>
          <w:tcPr>
            <w:tcW w:w="1729" w:type="dxa"/>
          </w:tcPr>
          <w:p w14:paraId="1B4FEF1F"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64953B3F"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6</w:t>
            </w:r>
          </w:p>
        </w:tc>
        <w:tc>
          <w:tcPr>
            <w:tcW w:w="1974" w:type="dxa"/>
          </w:tcPr>
          <w:p w14:paraId="4C0EC890"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COMINIERE</w:t>
            </w:r>
          </w:p>
        </w:tc>
        <w:tc>
          <w:tcPr>
            <w:tcW w:w="1712" w:type="dxa"/>
          </w:tcPr>
          <w:p w14:paraId="6E310CA2"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90</w:t>
            </w:r>
          </w:p>
        </w:tc>
      </w:tr>
      <w:tr w:rsidR="00F000B0" w:rsidRPr="00B354ED" w14:paraId="772B3AA6"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2CE43475"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3</w:t>
            </w:r>
          </w:p>
        </w:tc>
        <w:tc>
          <w:tcPr>
            <w:tcW w:w="2240" w:type="dxa"/>
          </w:tcPr>
          <w:p w14:paraId="49BD387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SCMK-Mn</w:t>
            </w:r>
          </w:p>
        </w:tc>
        <w:tc>
          <w:tcPr>
            <w:tcW w:w="1729" w:type="dxa"/>
          </w:tcPr>
          <w:p w14:paraId="7B2CA790"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7B253A3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7</w:t>
            </w:r>
          </w:p>
        </w:tc>
        <w:tc>
          <w:tcPr>
            <w:tcW w:w="1974" w:type="dxa"/>
          </w:tcPr>
          <w:p w14:paraId="5E3665C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MIBA</w:t>
            </w:r>
          </w:p>
        </w:tc>
        <w:tc>
          <w:tcPr>
            <w:tcW w:w="1712" w:type="dxa"/>
          </w:tcPr>
          <w:p w14:paraId="67EC815A"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80</w:t>
            </w:r>
          </w:p>
        </w:tc>
      </w:tr>
      <w:tr w:rsidR="00F000B0" w:rsidRPr="00B354ED" w14:paraId="4E1A1D3F" w14:textId="77777777" w:rsidTr="00943F67">
        <w:tc>
          <w:tcPr>
            <w:cnfStyle w:val="001000000000" w:firstRow="0" w:lastRow="0" w:firstColumn="1" w:lastColumn="0" w:oddVBand="0" w:evenVBand="0" w:oddHBand="0" w:evenHBand="0" w:firstRowFirstColumn="0" w:firstRowLastColumn="0" w:lastRowFirstColumn="0" w:lastRowLastColumn="0"/>
            <w:tcW w:w="562" w:type="dxa"/>
          </w:tcPr>
          <w:p w14:paraId="5075F428"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4</w:t>
            </w:r>
          </w:p>
        </w:tc>
        <w:tc>
          <w:tcPr>
            <w:tcW w:w="2240" w:type="dxa"/>
          </w:tcPr>
          <w:p w14:paraId="5824742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SOKIMO</w:t>
            </w:r>
          </w:p>
        </w:tc>
        <w:tc>
          <w:tcPr>
            <w:tcW w:w="1729" w:type="dxa"/>
          </w:tcPr>
          <w:p w14:paraId="0987E86A" w14:textId="77777777" w:rsidR="00F000B0" w:rsidRPr="00B354ED"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100</w:t>
            </w:r>
          </w:p>
        </w:tc>
        <w:tc>
          <w:tcPr>
            <w:tcW w:w="567" w:type="dxa"/>
          </w:tcPr>
          <w:p w14:paraId="3DEBD67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8</w:t>
            </w:r>
          </w:p>
        </w:tc>
        <w:tc>
          <w:tcPr>
            <w:tcW w:w="1974" w:type="dxa"/>
          </w:tcPr>
          <w:p w14:paraId="1B906B2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SACIM</w:t>
            </w:r>
          </w:p>
        </w:tc>
        <w:tc>
          <w:tcPr>
            <w:tcW w:w="1712" w:type="dxa"/>
          </w:tcPr>
          <w:p w14:paraId="0E6B86AC" w14:textId="77777777" w:rsidR="00F000B0" w:rsidRPr="00B354ED" w:rsidRDefault="00F000B0" w:rsidP="00E9673A">
            <w:pPr>
              <w:jc w:val="right"/>
              <w:cnfStyle w:val="000000000000" w:firstRow="0" w:lastRow="0" w:firstColumn="0" w:lastColumn="0" w:oddVBand="0" w:evenVBand="0" w:oddHBand="0" w:evenHBand="0" w:firstRowFirstColumn="0" w:firstRowLastColumn="0" w:lastRowFirstColumn="0" w:lastRowLastColumn="0"/>
            </w:pPr>
            <w:r w:rsidRPr="00B354ED">
              <w:t>50</w:t>
            </w:r>
          </w:p>
        </w:tc>
      </w:tr>
    </w:tbl>
    <w:p w14:paraId="5AE0CC88" w14:textId="77777777" w:rsidR="00F000B0" w:rsidRPr="00B354ED" w:rsidRDefault="00F000B0" w:rsidP="00F000B0">
      <w:pPr>
        <w:jc w:val="both"/>
        <w:rPr>
          <w:rFonts w:ascii="Times New Roman" w:hAnsi="Times New Roman"/>
          <w:sz w:val="18"/>
          <w:szCs w:val="18"/>
        </w:rPr>
      </w:pPr>
      <w:r w:rsidRPr="00B354ED">
        <w:rPr>
          <w:rFonts w:ascii="Times New Roman" w:hAnsi="Times New Roman"/>
          <w:sz w:val="18"/>
          <w:szCs w:val="18"/>
        </w:rPr>
        <w:t>Sources : Ministère du PF et EPE</w:t>
      </w:r>
    </w:p>
    <w:p w14:paraId="7D1364A7" w14:textId="77777777" w:rsidR="00F000B0" w:rsidRDefault="00F000B0" w:rsidP="00F000B0">
      <w:pPr>
        <w:jc w:val="both"/>
        <w:rPr>
          <w:rFonts w:ascii="Times New Roman" w:hAnsi="Times New Roman"/>
          <w:sz w:val="24"/>
          <w:szCs w:val="24"/>
        </w:rPr>
      </w:pPr>
      <w:r w:rsidRPr="00AA5351">
        <w:rPr>
          <w:rFonts w:ascii="Times New Roman" w:hAnsi="Times New Roman"/>
          <w:sz w:val="24"/>
          <w:szCs w:val="24"/>
        </w:rPr>
        <w:t>En comparant la déclaration de 2015 à celle de 2016</w:t>
      </w:r>
      <w:r>
        <w:rPr>
          <w:rFonts w:ascii="Times New Roman" w:hAnsi="Times New Roman"/>
          <w:sz w:val="24"/>
          <w:szCs w:val="24"/>
        </w:rPr>
        <w:t>,</w:t>
      </w:r>
      <w:r w:rsidRPr="00AA5351">
        <w:rPr>
          <w:rFonts w:ascii="Times New Roman" w:hAnsi="Times New Roman"/>
          <w:sz w:val="24"/>
          <w:szCs w:val="24"/>
        </w:rPr>
        <w:t xml:space="preserve"> l’on constate  qu’aucune modification n’est intervenue dans la participation </w:t>
      </w:r>
      <w:r>
        <w:rPr>
          <w:rFonts w:ascii="Times New Roman" w:hAnsi="Times New Roman"/>
          <w:sz w:val="24"/>
          <w:szCs w:val="24"/>
        </w:rPr>
        <w:t xml:space="preserve">directe </w:t>
      </w:r>
      <w:r w:rsidRPr="00AA5351">
        <w:rPr>
          <w:rFonts w:ascii="Times New Roman" w:hAnsi="Times New Roman"/>
          <w:sz w:val="24"/>
          <w:szCs w:val="24"/>
        </w:rPr>
        <w:t xml:space="preserve">de l’Etat </w:t>
      </w:r>
      <w:r>
        <w:rPr>
          <w:rFonts w:ascii="Times New Roman" w:hAnsi="Times New Roman"/>
          <w:sz w:val="24"/>
          <w:szCs w:val="24"/>
        </w:rPr>
        <w:t xml:space="preserve">dans le secteur minier </w:t>
      </w:r>
      <w:r w:rsidRPr="00AA5351">
        <w:rPr>
          <w:rFonts w:ascii="Times New Roman" w:hAnsi="Times New Roman"/>
          <w:sz w:val="24"/>
          <w:szCs w:val="24"/>
        </w:rPr>
        <w:t xml:space="preserve">entre les deux exercices. </w:t>
      </w:r>
    </w:p>
    <w:p w14:paraId="3FAA9AD8" w14:textId="77777777" w:rsidR="00F000B0" w:rsidRPr="00AA5351" w:rsidRDefault="00F000B0" w:rsidP="000738D3">
      <w:pPr>
        <w:pStyle w:val="Paragraphedeliste"/>
        <w:numPr>
          <w:ilvl w:val="0"/>
          <w:numId w:val="43"/>
        </w:numPr>
        <w:spacing w:after="160" w:line="259" w:lineRule="auto"/>
        <w:jc w:val="both"/>
        <w:rPr>
          <w:rFonts w:ascii="Times New Roman" w:hAnsi="Times New Roman" w:cs="Times New Roman"/>
          <w:b/>
          <w:sz w:val="24"/>
          <w:szCs w:val="24"/>
        </w:rPr>
      </w:pPr>
      <w:r w:rsidRPr="00AA5351">
        <w:rPr>
          <w:rFonts w:ascii="Times New Roman" w:hAnsi="Times New Roman" w:cs="Times New Roman"/>
          <w:b/>
          <w:sz w:val="24"/>
          <w:szCs w:val="24"/>
        </w:rPr>
        <w:t>Participation minoritaire</w:t>
      </w:r>
    </w:p>
    <w:tbl>
      <w:tblPr>
        <w:tblStyle w:val="TableauGrille1Clair-Accentuation11"/>
        <w:tblW w:w="8784" w:type="dxa"/>
        <w:tblInd w:w="534" w:type="dxa"/>
        <w:tblLayout w:type="fixed"/>
        <w:tblLook w:val="04A0" w:firstRow="1" w:lastRow="0" w:firstColumn="1" w:lastColumn="0" w:noHBand="0" w:noVBand="1"/>
      </w:tblPr>
      <w:tblGrid>
        <w:gridCol w:w="704"/>
        <w:gridCol w:w="2098"/>
        <w:gridCol w:w="1729"/>
        <w:gridCol w:w="567"/>
        <w:gridCol w:w="1974"/>
        <w:gridCol w:w="1712"/>
      </w:tblGrid>
      <w:tr w:rsidR="00F000B0" w:rsidRPr="00B354ED" w14:paraId="4B26BC9D" w14:textId="77777777" w:rsidTr="00943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031C13" w14:textId="77777777" w:rsidR="00F000B0" w:rsidRPr="00B354ED" w:rsidRDefault="00F000B0" w:rsidP="00F000B0">
            <w:pPr>
              <w:jc w:val="both"/>
              <w:rPr>
                <w:rFonts w:ascii="Times New Roman" w:hAnsi="Times New Roman"/>
                <w:sz w:val="20"/>
                <w:szCs w:val="20"/>
              </w:rPr>
            </w:pPr>
            <w:r w:rsidRPr="00B354ED">
              <w:rPr>
                <w:rFonts w:ascii="Times New Roman" w:hAnsi="Times New Roman"/>
                <w:sz w:val="20"/>
                <w:szCs w:val="20"/>
              </w:rPr>
              <w:t>N°</w:t>
            </w:r>
          </w:p>
        </w:tc>
        <w:tc>
          <w:tcPr>
            <w:tcW w:w="2098" w:type="dxa"/>
          </w:tcPr>
          <w:p w14:paraId="0558C2F2"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29" w:type="dxa"/>
          </w:tcPr>
          <w:p w14:paraId="393B80AD"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c>
          <w:tcPr>
            <w:tcW w:w="567" w:type="dxa"/>
          </w:tcPr>
          <w:p w14:paraId="3AC4409E"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w:t>
            </w:r>
          </w:p>
        </w:tc>
        <w:tc>
          <w:tcPr>
            <w:tcW w:w="1974" w:type="dxa"/>
          </w:tcPr>
          <w:p w14:paraId="15EFCA16"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Nom de l’Entreprise</w:t>
            </w:r>
          </w:p>
        </w:tc>
        <w:tc>
          <w:tcPr>
            <w:tcW w:w="1712" w:type="dxa"/>
          </w:tcPr>
          <w:p w14:paraId="2B287BEB" w14:textId="77777777" w:rsidR="00F000B0" w:rsidRPr="00B354ED"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Participation de l’Etat (en %)</w:t>
            </w:r>
          </w:p>
        </w:tc>
      </w:tr>
      <w:tr w:rsidR="00F000B0" w:rsidRPr="00B354ED" w14:paraId="277E2F87"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81EAF80"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3C3F7A8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FRONTIER</w:t>
            </w:r>
          </w:p>
        </w:tc>
        <w:tc>
          <w:tcPr>
            <w:tcW w:w="1729" w:type="dxa"/>
          </w:tcPr>
          <w:p w14:paraId="6A4C22E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05E49313"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7.</w:t>
            </w:r>
          </w:p>
        </w:tc>
        <w:tc>
          <w:tcPr>
            <w:tcW w:w="1974" w:type="dxa"/>
          </w:tcPr>
          <w:p w14:paraId="2CEB037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CROWN MINING</w:t>
            </w:r>
          </w:p>
        </w:tc>
        <w:tc>
          <w:tcPr>
            <w:tcW w:w="1712" w:type="dxa"/>
          </w:tcPr>
          <w:p w14:paraId="4EF1A61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51DC7D40"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EF22017"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19C5E83A"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KGL SOMITURI</w:t>
            </w:r>
          </w:p>
        </w:tc>
        <w:tc>
          <w:tcPr>
            <w:tcW w:w="1729" w:type="dxa"/>
          </w:tcPr>
          <w:p w14:paraId="586AB2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1055FDEE"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8.</w:t>
            </w:r>
          </w:p>
        </w:tc>
        <w:tc>
          <w:tcPr>
            <w:tcW w:w="1974" w:type="dxa"/>
          </w:tcPr>
          <w:p w14:paraId="4DFB4DD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CHEMAF</w:t>
            </w:r>
          </w:p>
        </w:tc>
        <w:tc>
          <w:tcPr>
            <w:tcW w:w="1712" w:type="dxa"/>
          </w:tcPr>
          <w:p w14:paraId="3CE5AAF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073BF39B"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12BDF0F2"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1BD12E96"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METALKOL</w:t>
            </w:r>
          </w:p>
        </w:tc>
        <w:tc>
          <w:tcPr>
            <w:tcW w:w="1729" w:type="dxa"/>
          </w:tcPr>
          <w:p w14:paraId="42F4EC9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492503E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9.</w:t>
            </w:r>
          </w:p>
        </w:tc>
        <w:tc>
          <w:tcPr>
            <w:tcW w:w="1974" w:type="dxa"/>
          </w:tcPr>
          <w:p w14:paraId="2C13340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ALPHAMIN BISIE</w:t>
            </w:r>
          </w:p>
        </w:tc>
        <w:tc>
          <w:tcPr>
            <w:tcW w:w="1712" w:type="dxa"/>
          </w:tcPr>
          <w:p w14:paraId="77BF76C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0BB055F0"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21FD2FFE"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0926DCF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 xml:space="preserve">KAMOA COPPER </w:t>
            </w:r>
          </w:p>
        </w:tc>
        <w:tc>
          <w:tcPr>
            <w:tcW w:w="1729" w:type="dxa"/>
          </w:tcPr>
          <w:p w14:paraId="32F7EA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6BF33E8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10.</w:t>
            </w:r>
          </w:p>
        </w:tc>
        <w:tc>
          <w:tcPr>
            <w:tcW w:w="1974" w:type="dxa"/>
          </w:tcPr>
          <w:p w14:paraId="6DB36E2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SEK</w:t>
            </w:r>
          </w:p>
        </w:tc>
        <w:tc>
          <w:tcPr>
            <w:tcW w:w="1712" w:type="dxa"/>
          </w:tcPr>
          <w:p w14:paraId="1796B52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52252468"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06DD9795"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7E0CD5D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MURUMBI MINERALS</w:t>
            </w:r>
          </w:p>
        </w:tc>
        <w:tc>
          <w:tcPr>
            <w:tcW w:w="1729" w:type="dxa"/>
          </w:tcPr>
          <w:p w14:paraId="4D757BF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2F219629"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B354ED">
              <w:rPr>
                <w:rFonts w:ascii="Times New Roman" w:hAnsi="Times New Roman"/>
                <w:b/>
                <w:sz w:val="20"/>
                <w:szCs w:val="20"/>
              </w:rPr>
              <w:t>11.</w:t>
            </w:r>
          </w:p>
        </w:tc>
        <w:tc>
          <w:tcPr>
            <w:tcW w:w="1974" w:type="dxa"/>
          </w:tcPr>
          <w:p w14:paraId="368A7E2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CONGO MINERAL EXPLORATION</w:t>
            </w:r>
          </w:p>
        </w:tc>
        <w:tc>
          <w:tcPr>
            <w:tcW w:w="1712" w:type="dxa"/>
          </w:tcPr>
          <w:p w14:paraId="7A16A78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r>
      <w:tr w:rsidR="00F000B0" w:rsidRPr="00B354ED" w14:paraId="7705727C" w14:textId="77777777" w:rsidTr="00943F67">
        <w:tc>
          <w:tcPr>
            <w:cnfStyle w:val="001000000000" w:firstRow="0" w:lastRow="0" w:firstColumn="1" w:lastColumn="0" w:oddVBand="0" w:evenVBand="0" w:oddHBand="0" w:evenHBand="0" w:firstRowFirstColumn="0" w:firstRowLastColumn="0" w:lastRowFirstColumn="0" w:lastRowLastColumn="0"/>
            <w:tcW w:w="704" w:type="dxa"/>
          </w:tcPr>
          <w:p w14:paraId="75F27F1F" w14:textId="77777777" w:rsidR="00F000B0" w:rsidRPr="00B354ED" w:rsidRDefault="00F000B0" w:rsidP="000738D3">
            <w:pPr>
              <w:pStyle w:val="Paragraphedeliste"/>
              <w:numPr>
                <w:ilvl w:val="0"/>
                <w:numId w:val="42"/>
              </w:numPr>
              <w:spacing w:after="0" w:line="240" w:lineRule="auto"/>
              <w:jc w:val="both"/>
              <w:rPr>
                <w:rFonts w:ascii="Times New Roman" w:hAnsi="Times New Roman" w:cs="Times New Roman"/>
                <w:sz w:val="20"/>
                <w:szCs w:val="20"/>
              </w:rPr>
            </w:pPr>
          </w:p>
        </w:tc>
        <w:tc>
          <w:tcPr>
            <w:tcW w:w="2098" w:type="dxa"/>
          </w:tcPr>
          <w:p w14:paraId="7303C431"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GOLD DRAGON RESOURCES RDC</w:t>
            </w:r>
          </w:p>
        </w:tc>
        <w:tc>
          <w:tcPr>
            <w:tcW w:w="1729" w:type="dxa"/>
          </w:tcPr>
          <w:p w14:paraId="728A766C"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354ED">
              <w:rPr>
                <w:rFonts w:ascii="Times New Roman" w:hAnsi="Times New Roman"/>
                <w:sz w:val="20"/>
                <w:szCs w:val="20"/>
              </w:rPr>
              <w:t>5</w:t>
            </w:r>
          </w:p>
        </w:tc>
        <w:tc>
          <w:tcPr>
            <w:tcW w:w="567" w:type="dxa"/>
          </w:tcPr>
          <w:p w14:paraId="44EDF95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974" w:type="dxa"/>
          </w:tcPr>
          <w:p w14:paraId="7883F617"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12" w:type="dxa"/>
          </w:tcPr>
          <w:p w14:paraId="7984CEF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p w14:paraId="2705F044" w14:textId="77777777" w:rsidR="00F000B0" w:rsidRPr="00B354ED" w:rsidRDefault="00F000B0" w:rsidP="00943F67">
      <w:pPr>
        <w:ind w:firstLine="426"/>
        <w:jc w:val="both"/>
        <w:rPr>
          <w:rFonts w:ascii="Times New Roman" w:hAnsi="Times New Roman"/>
          <w:sz w:val="18"/>
          <w:szCs w:val="18"/>
        </w:rPr>
      </w:pPr>
      <w:r w:rsidRPr="00B354ED">
        <w:rPr>
          <w:rFonts w:ascii="Times New Roman" w:hAnsi="Times New Roman"/>
          <w:sz w:val="18"/>
          <w:szCs w:val="18"/>
        </w:rPr>
        <w:t>Source : Ministère du PF</w:t>
      </w:r>
    </w:p>
    <w:p w14:paraId="29DF25DD"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En 2016, le portefeuille de l’Etat s’est enrichi de six nouvelles entreprises. Il est donc passé de 5 entreprises  détenues minoritairement par l’Etat en 2015  à 11 entreprises en 2016.</w:t>
      </w:r>
    </w:p>
    <w:p w14:paraId="70BC5BDC"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La participation minoritaire renseignée ci-dessus résulte de la cession par les entreprises privées  de 5% de leur capital à l’Etat suite à la transformation de</w:t>
      </w:r>
      <w:r>
        <w:rPr>
          <w:rFonts w:ascii="Times New Roman" w:hAnsi="Times New Roman"/>
          <w:sz w:val="24"/>
          <w:szCs w:val="24"/>
        </w:rPr>
        <w:t xml:space="preserve"> leur</w:t>
      </w:r>
      <w:r w:rsidRPr="00AA5351">
        <w:rPr>
          <w:rFonts w:ascii="Times New Roman" w:hAnsi="Times New Roman"/>
          <w:sz w:val="24"/>
          <w:szCs w:val="24"/>
        </w:rPr>
        <w:t>s permis de recherche(PR) en permis d’exploitation (P.E)</w:t>
      </w:r>
      <w:r>
        <w:rPr>
          <w:rStyle w:val="Appelnotedebasdep"/>
          <w:rFonts w:ascii="Times New Roman" w:hAnsi="Times New Roman"/>
          <w:sz w:val="24"/>
          <w:szCs w:val="24"/>
        </w:rPr>
        <w:footnoteReference w:id="33"/>
      </w:r>
      <w:r w:rsidRPr="00AA5351">
        <w:rPr>
          <w:rFonts w:ascii="Times New Roman" w:hAnsi="Times New Roman"/>
          <w:sz w:val="24"/>
          <w:szCs w:val="24"/>
        </w:rPr>
        <w:t>.</w:t>
      </w:r>
    </w:p>
    <w:p w14:paraId="051CF931"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 xml:space="preserve">Le registre </w:t>
      </w:r>
      <w:r>
        <w:rPr>
          <w:rFonts w:ascii="Times New Roman" w:hAnsi="Times New Roman"/>
          <w:sz w:val="24"/>
          <w:szCs w:val="24"/>
        </w:rPr>
        <w:t xml:space="preserve">des licences de l’exercice </w:t>
      </w:r>
      <w:r w:rsidRPr="00AA5351">
        <w:rPr>
          <w:rFonts w:ascii="Times New Roman" w:hAnsi="Times New Roman"/>
          <w:sz w:val="24"/>
          <w:szCs w:val="24"/>
        </w:rPr>
        <w:t xml:space="preserve">2016 fourni par </w:t>
      </w:r>
      <w:r>
        <w:rPr>
          <w:rFonts w:ascii="Times New Roman" w:hAnsi="Times New Roman"/>
          <w:sz w:val="24"/>
          <w:szCs w:val="24"/>
        </w:rPr>
        <w:t xml:space="preserve">le </w:t>
      </w:r>
      <w:r w:rsidRPr="00AA5351">
        <w:rPr>
          <w:rFonts w:ascii="Times New Roman" w:hAnsi="Times New Roman"/>
          <w:sz w:val="24"/>
          <w:szCs w:val="24"/>
        </w:rPr>
        <w:t xml:space="preserve">CAMI a été analysé en vue de s’assurer de l’exhaustivité de la déclaration  </w:t>
      </w:r>
      <w:r>
        <w:rPr>
          <w:rFonts w:ascii="Times New Roman" w:hAnsi="Times New Roman"/>
          <w:sz w:val="24"/>
          <w:szCs w:val="24"/>
        </w:rPr>
        <w:t xml:space="preserve">du ministère de PF </w:t>
      </w:r>
      <w:r w:rsidRPr="00AA5351">
        <w:rPr>
          <w:rFonts w:ascii="Times New Roman" w:hAnsi="Times New Roman"/>
          <w:sz w:val="24"/>
          <w:szCs w:val="24"/>
        </w:rPr>
        <w:t>de la cession</w:t>
      </w:r>
      <w:r w:rsidR="00617EBE">
        <w:rPr>
          <w:rFonts w:ascii="Times New Roman" w:hAnsi="Times New Roman"/>
          <w:sz w:val="24"/>
          <w:szCs w:val="24"/>
        </w:rPr>
        <w:t xml:space="preserve"> potentielle</w:t>
      </w:r>
      <w:r w:rsidRPr="00AA5351">
        <w:rPr>
          <w:rFonts w:ascii="Times New Roman" w:hAnsi="Times New Roman"/>
          <w:sz w:val="24"/>
          <w:szCs w:val="24"/>
        </w:rPr>
        <w:t xml:space="preserve">  à l’Etat  des 5%  du capital social  </w:t>
      </w:r>
      <w:r>
        <w:rPr>
          <w:rFonts w:ascii="Times New Roman" w:hAnsi="Times New Roman"/>
          <w:sz w:val="24"/>
          <w:szCs w:val="24"/>
        </w:rPr>
        <w:t xml:space="preserve">par les titulaires </w:t>
      </w:r>
      <w:r w:rsidRPr="00AA5351">
        <w:rPr>
          <w:rFonts w:ascii="Times New Roman" w:hAnsi="Times New Roman"/>
          <w:sz w:val="24"/>
          <w:szCs w:val="24"/>
        </w:rPr>
        <w:t xml:space="preserve">ayant transformé </w:t>
      </w:r>
      <w:r>
        <w:rPr>
          <w:rFonts w:ascii="Times New Roman" w:hAnsi="Times New Roman"/>
          <w:sz w:val="24"/>
          <w:szCs w:val="24"/>
        </w:rPr>
        <w:t>leurs</w:t>
      </w:r>
      <w:r w:rsidRPr="00AA5351">
        <w:rPr>
          <w:rFonts w:ascii="Times New Roman" w:hAnsi="Times New Roman"/>
          <w:sz w:val="24"/>
          <w:szCs w:val="24"/>
        </w:rPr>
        <w:t xml:space="preserve"> PR en PE.</w:t>
      </w:r>
      <w:r w:rsidR="00617EBE">
        <w:rPr>
          <w:rFonts w:ascii="Times New Roman" w:hAnsi="Times New Roman"/>
          <w:sz w:val="24"/>
          <w:szCs w:val="24"/>
        </w:rPr>
        <w:t xml:space="preserve"> Il convient de noter que la cession devient effective qu’après la création de la société</w:t>
      </w:r>
      <w:r w:rsidR="00483DC5">
        <w:rPr>
          <w:rFonts w:ascii="Times New Roman" w:hAnsi="Times New Roman"/>
          <w:sz w:val="24"/>
          <w:szCs w:val="24"/>
        </w:rPr>
        <w:t xml:space="preserve"> personne morale</w:t>
      </w:r>
      <w:r w:rsidR="00617EBE">
        <w:rPr>
          <w:rFonts w:ascii="Times New Roman" w:hAnsi="Times New Roman"/>
          <w:sz w:val="24"/>
          <w:szCs w:val="24"/>
        </w:rPr>
        <w:t>.</w:t>
      </w:r>
      <w:r w:rsidRPr="00AA5351">
        <w:rPr>
          <w:rFonts w:ascii="Times New Roman" w:hAnsi="Times New Roman"/>
          <w:sz w:val="24"/>
          <w:szCs w:val="24"/>
        </w:rPr>
        <w:t xml:space="preserve"> </w:t>
      </w:r>
    </w:p>
    <w:p w14:paraId="137CFAC3" w14:textId="77777777" w:rsidR="008120D4" w:rsidRDefault="008120D4">
      <w:pPr>
        <w:rPr>
          <w:rFonts w:ascii="Times New Roman" w:hAnsi="Times New Roman"/>
          <w:sz w:val="24"/>
          <w:szCs w:val="24"/>
        </w:rPr>
      </w:pPr>
      <w:r>
        <w:rPr>
          <w:rFonts w:ascii="Times New Roman" w:hAnsi="Times New Roman"/>
          <w:sz w:val="24"/>
          <w:szCs w:val="24"/>
        </w:rPr>
        <w:br w:type="page"/>
      </w:r>
    </w:p>
    <w:p w14:paraId="4390806D" w14:textId="4E00E5CE"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lastRenderedPageBreak/>
        <w:t>La liste des titulaires ayant transformé leurs PR en PE en 2016 est présentée ci-dessous :  </w:t>
      </w:r>
    </w:p>
    <w:tbl>
      <w:tblPr>
        <w:tblStyle w:val="TableauGrille1Clair1"/>
        <w:tblW w:w="7900" w:type="dxa"/>
        <w:tblInd w:w="392" w:type="dxa"/>
        <w:tblLook w:val="04A0" w:firstRow="1" w:lastRow="0" w:firstColumn="1" w:lastColumn="0" w:noHBand="0" w:noVBand="1"/>
      </w:tblPr>
      <w:tblGrid>
        <w:gridCol w:w="460"/>
        <w:gridCol w:w="5720"/>
        <w:gridCol w:w="1720"/>
      </w:tblGrid>
      <w:tr w:rsidR="00F000B0" w:rsidRPr="00B354ED" w14:paraId="4E8B4866" w14:textId="77777777" w:rsidTr="00943F6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99BB535" w14:textId="77777777" w:rsidR="00F000B0" w:rsidRPr="00B354ED" w:rsidRDefault="00F000B0" w:rsidP="00F000B0">
            <w:pPr>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N°</w:t>
            </w:r>
          </w:p>
        </w:tc>
        <w:tc>
          <w:tcPr>
            <w:tcW w:w="5720" w:type="dxa"/>
            <w:noWrap/>
            <w:hideMark/>
          </w:tcPr>
          <w:p w14:paraId="05838368"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TITULAIRE</w:t>
            </w:r>
          </w:p>
        </w:tc>
        <w:tc>
          <w:tcPr>
            <w:tcW w:w="1720" w:type="dxa"/>
            <w:hideMark/>
          </w:tcPr>
          <w:p w14:paraId="2154D565" w14:textId="77777777" w:rsidR="00F000B0" w:rsidRPr="00B354ED"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eastAsia="fr-FR"/>
              </w:rPr>
            </w:pPr>
            <w:r w:rsidRPr="00B354ED">
              <w:rPr>
                <w:rFonts w:ascii="Times New Roman" w:eastAsia="Times New Roman" w:hAnsi="Times New Roman"/>
                <w:sz w:val="16"/>
                <w:szCs w:val="16"/>
                <w:lang w:eastAsia="fr-FR"/>
              </w:rPr>
              <w:t>Nombre PR transformés en PE</w:t>
            </w:r>
          </w:p>
        </w:tc>
      </w:tr>
      <w:tr w:rsidR="00F000B0" w:rsidRPr="00B354ED" w14:paraId="3A9024A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5065608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c>
          <w:tcPr>
            <w:tcW w:w="5720" w:type="dxa"/>
            <w:hideMark/>
          </w:tcPr>
          <w:p w14:paraId="5C35BF7D" w14:textId="438A7726"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Abdallah HASSAN ALI MOHAMED</w:t>
            </w:r>
            <w:r w:rsidR="00373401">
              <w:rPr>
                <w:rFonts w:ascii="Times New Roman" w:eastAsia="Times New Roman" w:hAnsi="Times New Roman"/>
                <w:color w:val="000000"/>
                <w:sz w:val="16"/>
                <w:szCs w:val="16"/>
                <w:lang w:eastAsia="fr-FR"/>
              </w:rPr>
              <w:t>*</w:t>
            </w:r>
          </w:p>
        </w:tc>
        <w:tc>
          <w:tcPr>
            <w:tcW w:w="1720" w:type="dxa"/>
            <w:noWrap/>
            <w:hideMark/>
          </w:tcPr>
          <w:p w14:paraId="14FFF614"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108E341F"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46DBB84B"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w:t>
            </w:r>
          </w:p>
        </w:tc>
        <w:tc>
          <w:tcPr>
            <w:tcW w:w="5720" w:type="dxa"/>
            <w:hideMark/>
          </w:tcPr>
          <w:p w14:paraId="7639FEF8"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ADVANCED MINERALS DRC SPRL</w:t>
            </w:r>
          </w:p>
        </w:tc>
        <w:tc>
          <w:tcPr>
            <w:tcW w:w="1720" w:type="dxa"/>
            <w:noWrap/>
            <w:hideMark/>
          </w:tcPr>
          <w:p w14:paraId="29F7554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029C10E2"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A7241C2"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c>
          <w:tcPr>
            <w:tcW w:w="5720" w:type="dxa"/>
            <w:hideMark/>
          </w:tcPr>
          <w:p w14:paraId="4C5187A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ANVIL MINING CONGO Sarl</w:t>
            </w:r>
          </w:p>
        </w:tc>
        <w:tc>
          <w:tcPr>
            <w:tcW w:w="1720" w:type="dxa"/>
            <w:noWrap/>
            <w:hideMark/>
          </w:tcPr>
          <w:p w14:paraId="6ECE7CF1"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9</w:t>
            </w:r>
          </w:p>
        </w:tc>
      </w:tr>
      <w:tr w:rsidR="00F000B0" w:rsidRPr="00B354ED" w14:paraId="35668642"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8404DC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4</w:t>
            </w:r>
          </w:p>
        </w:tc>
        <w:tc>
          <w:tcPr>
            <w:tcW w:w="5720" w:type="dxa"/>
            <w:hideMark/>
          </w:tcPr>
          <w:p w14:paraId="15F55E96"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BLACKSTONE PETROMINERALS Sprl</w:t>
            </w:r>
          </w:p>
        </w:tc>
        <w:tc>
          <w:tcPr>
            <w:tcW w:w="1720" w:type="dxa"/>
            <w:noWrap/>
            <w:hideMark/>
          </w:tcPr>
          <w:p w14:paraId="013A51F3"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25E20C66"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3939678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5</w:t>
            </w:r>
          </w:p>
        </w:tc>
        <w:tc>
          <w:tcPr>
            <w:tcW w:w="5720" w:type="dxa"/>
            <w:hideMark/>
          </w:tcPr>
          <w:p w14:paraId="6A46356E" w14:textId="3209B470"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Brigitte MBOMBA BOMPOLONGA</w:t>
            </w:r>
            <w:r w:rsidR="00373401">
              <w:rPr>
                <w:rFonts w:ascii="Times New Roman" w:eastAsia="Times New Roman" w:hAnsi="Times New Roman"/>
                <w:color w:val="000000"/>
                <w:sz w:val="16"/>
                <w:szCs w:val="16"/>
                <w:lang w:eastAsia="fr-FR"/>
              </w:rPr>
              <w:t>*</w:t>
            </w:r>
          </w:p>
        </w:tc>
        <w:tc>
          <w:tcPr>
            <w:tcW w:w="1720" w:type="dxa"/>
            <w:noWrap/>
            <w:hideMark/>
          </w:tcPr>
          <w:p w14:paraId="227CB96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7E5A9B4E"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6C026651"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6</w:t>
            </w:r>
          </w:p>
        </w:tc>
        <w:tc>
          <w:tcPr>
            <w:tcW w:w="5720" w:type="dxa"/>
            <w:hideMark/>
          </w:tcPr>
          <w:p w14:paraId="331C1349" w14:textId="395BF90A"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DOKOLO NDONA</w:t>
            </w:r>
            <w:r w:rsidR="00373401">
              <w:rPr>
                <w:rFonts w:ascii="Times New Roman" w:eastAsia="Times New Roman" w:hAnsi="Times New Roman"/>
                <w:color w:val="000000"/>
                <w:sz w:val="16"/>
                <w:szCs w:val="16"/>
                <w:lang w:eastAsia="fr-FR"/>
              </w:rPr>
              <w:t>*</w:t>
            </w:r>
          </w:p>
        </w:tc>
        <w:tc>
          <w:tcPr>
            <w:tcW w:w="1720" w:type="dxa"/>
            <w:noWrap/>
            <w:hideMark/>
          </w:tcPr>
          <w:p w14:paraId="571C93B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DCD81F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504ED67"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7</w:t>
            </w:r>
          </w:p>
        </w:tc>
        <w:tc>
          <w:tcPr>
            <w:tcW w:w="5720" w:type="dxa"/>
            <w:hideMark/>
          </w:tcPr>
          <w:p w14:paraId="5914822D" w14:textId="186DD1FF"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Eric Dieudonné Mapoti Olela</w:t>
            </w:r>
            <w:r w:rsidR="00373401">
              <w:rPr>
                <w:rFonts w:ascii="Times New Roman" w:eastAsia="Times New Roman" w:hAnsi="Times New Roman"/>
                <w:color w:val="000000"/>
                <w:sz w:val="16"/>
                <w:szCs w:val="16"/>
                <w:lang w:eastAsia="fr-FR"/>
              </w:rPr>
              <w:t>*</w:t>
            </w:r>
          </w:p>
        </w:tc>
        <w:tc>
          <w:tcPr>
            <w:tcW w:w="1720" w:type="dxa"/>
            <w:noWrap/>
            <w:hideMark/>
          </w:tcPr>
          <w:p w14:paraId="02D2D8A2"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A4F4F9D"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0000972A"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8</w:t>
            </w:r>
          </w:p>
        </w:tc>
        <w:tc>
          <w:tcPr>
            <w:tcW w:w="5720" w:type="dxa"/>
            <w:hideMark/>
          </w:tcPr>
          <w:p w14:paraId="31B3DEFB"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IRON MOUNTAIN ENTERPRISES SPRL</w:t>
            </w:r>
          </w:p>
        </w:tc>
        <w:tc>
          <w:tcPr>
            <w:tcW w:w="1720" w:type="dxa"/>
            <w:noWrap/>
            <w:hideMark/>
          </w:tcPr>
          <w:p w14:paraId="5C7E09EA"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36</w:t>
            </w:r>
          </w:p>
        </w:tc>
      </w:tr>
      <w:tr w:rsidR="00F000B0" w:rsidRPr="00B354ED" w14:paraId="01424230"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FAE32AB"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9</w:t>
            </w:r>
          </w:p>
        </w:tc>
        <w:tc>
          <w:tcPr>
            <w:tcW w:w="5720" w:type="dxa"/>
            <w:hideMark/>
          </w:tcPr>
          <w:p w14:paraId="58DAB4E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JADAS SARL</w:t>
            </w:r>
          </w:p>
        </w:tc>
        <w:tc>
          <w:tcPr>
            <w:tcW w:w="1720" w:type="dxa"/>
            <w:noWrap/>
            <w:hideMark/>
          </w:tcPr>
          <w:p w14:paraId="595A88E3"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27A29D4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65F1D71E"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10</w:t>
            </w:r>
          </w:p>
        </w:tc>
        <w:tc>
          <w:tcPr>
            <w:tcW w:w="5720" w:type="dxa"/>
            <w:hideMark/>
          </w:tcPr>
          <w:p w14:paraId="09D69622"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KANUKA MINING COMPANY</w:t>
            </w:r>
          </w:p>
        </w:tc>
        <w:tc>
          <w:tcPr>
            <w:tcW w:w="1720" w:type="dxa"/>
            <w:noWrap/>
            <w:hideMark/>
          </w:tcPr>
          <w:p w14:paraId="084A5B7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10516949"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4793CA3"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11</w:t>
            </w:r>
          </w:p>
        </w:tc>
        <w:tc>
          <w:tcPr>
            <w:tcW w:w="5720" w:type="dxa"/>
            <w:hideMark/>
          </w:tcPr>
          <w:p w14:paraId="5A17EC6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KATANGA EXPLORATION SARL</w:t>
            </w:r>
          </w:p>
        </w:tc>
        <w:tc>
          <w:tcPr>
            <w:tcW w:w="1720" w:type="dxa"/>
            <w:noWrap/>
            <w:hideMark/>
          </w:tcPr>
          <w:p w14:paraId="62D4947D"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001AF4EB"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E40E240"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12</w:t>
            </w:r>
          </w:p>
        </w:tc>
        <w:tc>
          <w:tcPr>
            <w:tcW w:w="5720" w:type="dxa"/>
            <w:hideMark/>
          </w:tcPr>
          <w:p w14:paraId="3A3464BA"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KISENGO MINING</w:t>
            </w:r>
          </w:p>
        </w:tc>
        <w:tc>
          <w:tcPr>
            <w:tcW w:w="1720" w:type="dxa"/>
            <w:noWrap/>
            <w:hideMark/>
          </w:tcPr>
          <w:p w14:paraId="0709053F"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7B91E593"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532833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13</w:t>
            </w:r>
          </w:p>
        </w:tc>
        <w:tc>
          <w:tcPr>
            <w:tcW w:w="5720" w:type="dxa"/>
            <w:hideMark/>
          </w:tcPr>
          <w:p w14:paraId="1DE1608E" w14:textId="0E5E857F"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LA GENERALE DES CARRIERES ET DES MINES</w:t>
            </w:r>
            <w:r w:rsidR="00373401">
              <w:rPr>
                <w:rFonts w:ascii="Times New Roman" w:eastAsia="Times New Roman" w:hAnsi="Times New Roman"/>
                <w:color w:val="000000"/>
                <w:sz w:val="16"/>
                <w:szCs w:val="16"/>
                <w:lang w:eastAsia="fr-FR"/>
              </w:rPr>
              <w:t>**</w:t>
            </w:r>
          </w:p>
        </w:tc>
        <w:tc>
          <w:tcPr>
            <w:tcW w:w="1720" w:type="dxa"/>
            <w:noWrap/>
            <w:hideMark/>
          </w:tcPr>
          <w:p w14:paraId="6A41DB95"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4</w:t>
            </w:r>
          </w:p>
        </w:tc>
      </w:tr>
      <w:tr w:rsidR="00F000B0" w:rsidRPr="00B354ED" w14:paraId="08DF572A"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72141AC"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14</w:t>
            </w:r>
          </w:p>
        </w:tc>
        <w:tc>
          <w:tcPr>
            <w:tcW w:w="5720" w:type="dxa"/>
            <w:hideMark/>
          </w:tcPr>
          <w:p w14:paraId="41E13455"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LEK MINING SPRL</w:t>
            </w:r>
          </w:p>
        </w:tc>
        <w:tc>
          <w:tcPr>
            <w:tcW w:w="1720" w:type="dxa"/>
            <w:noWrap/>
            <w:hideMark/>
          </w:tcPr>
          <w:p w14:paraId="77A17A5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E56B304"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B1FADF6"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15</w:t>
            </w:r>
          </w:p>
        </w:tc>
        <w:tc>
          <w:tcPr>
            <w:tcW w:w="5720" w:type="dxa"/>
            <w:hideMark/>
          </w:tcPr>
          <w:p w14:paraId="0961B00E" w14:textId="481DE38D"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LUAMBO MINING</w:t>
            </w:r>
            <w:r w:rsidR="00373401">
              <w:rPr>
                <w:rFonts w:ascii="Times New Roman" w:eastAsia="Times New Roman" w:hAnsi="Times New Roman"/>
                <w:color w:val="000000"/>
                <w:sz w:val="16"/>
                <w:szCs w:val="16"/>
                <w:lang w:eastAsia="fr-FR"/>
              </w:rPr>
              <w:t>*</w:t>
            </w:r>
          </w:p>
        </w:tc>
        <w:tc>
          <w:tcPr>
            <w:tcW w:w="1720" w:type="dxa"/>
            <w:noWrap/>
            <w:hideMark/>
          </w:tcPr>
          <w:p w14:paraId="03ABBBF7"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46C798F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0F1E9AD0"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16</w:t>
            </w:r>
          </w:p>
        </w:tc>
        <w:tc>
          <w:tcPr>
            <w:tcW w:w="5720" w:type="dxa"/>
            <w:hideMark/>
          </w:tcPr>
          <w:p w14:paraId="2425E8DE" w14:textId="3DAF6FBD"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SHARMA VIKAS</w:t>
            </w:r>
            <w:r w:rsidR="00373401">
              <w:rPr>
                <w:rFonts w:ascii="Times New Roman" w:eastAsia="Times New Roman" w:hAnsi="Times New Roman"/>
                <w:color w:val="000000"/>
                <w:sz w:val="16"/>
                <w:szCs w:val="16"/>
                <w:lang w:eastAsia="fr-FR"/>
              </w:rPr>
              <w:t>*</w:t>
            </w:r>
          </w:p>
        </w:tc>
        <w:tc>
          <w:tcPr>
            <w:tcW w:w="1720" w:type="dxa"/>
            <w:noWrap/>
            <w:hideMark/>
          </w:tcPr>
          <w:p w14:paraId="5D63552D"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6358233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243C146"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17</w:t>
            </w:r>
          </w:p>
        </w:tc>
        <w:tc>
          <w:tcPr>
            <w:tcW w:w="5720" w:type="dxa"/>
            <w:hideMark/>
          </w:tcPr>
          <w:p w14:paraId="2C5A8534"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D'EXPLOITATION DES GISEMENTS DE MALEMBA NKULU</w:t>
            </w:r>
          </w:p>
        </w:tc>
        <w:tc>
          <w:tcPr>
            <w:tcW w:w="1720" w:type="dxa"/>
            <w:noWrap/>
            <w:hideMark/>
          </w:tcPr>
          <w:p w14:paraId="27B4EF9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53B158CC"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474BA0AA"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18</w:t>
            </w:r>
          </w:p>
        </w:tc>
        <w:tc>
          <w:tcPr>
            <w:tcW w:w="5720" w:type="dxa"/>
            <w:hideMark/>
          </w:tcPr>
          <w:p w14:paraId="3B5F6FA0" w14:textId="5B3418D3" w:rsidR="00F000B0" w:rsidRPr="00B072C9"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6"/>
                <w:lang w:val="es-ES"/>
              </w:rPr>
            </w:pPr>
            <w:r w:rsidRPr="00B072C9">
              <w:rPr>
                <w:rFonts w:ascii="Times New Roman" w:hAnsi="Times New Roman"/>
                <w:color w:val="000000"/>
                <w:sz w:val="16"/>
                <w:lang w:val="es-ES"/>
              </w:rPr>
              <w:t>SOCIETE MINIERE DE KILO MOTO</w:t>
            </w:r>
            <w:r w:rsidR="00373401">
              <w:rPr>
                <w:rFonts w:ascii="Times New Roman" w:hAnsi="Times New Roman"/>
                <w:color w:val="000000"/>
                <w:sz w:val="16"/>
                <w:lang w:val="es-ES"/>
              </w:rPr>
              <w:t>**</w:t>
            </w:r>
          </w:p>
        </w:tc>
        <w:tc>
          <w:tcPr>
            <w:tcW w:w="1720" w:type="dxa"/>
            <w:noWrap/>
            <w:hideMark/>
          </w:tcPr>
          <w:p w14:paraId="574A2D1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6</w:t>
            </w:r>
          </w:p>
        </w:tc>
      </w:tr>
      <w:tr w:rsidR="00F000B0" w:rsidRPr="00B354ED" w14:paraId="0542DA01"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55A86AD7"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19</w:t>
            </w:r>
          </w:p>
        </w:tc>
        <w:tc>
          <w:tcPr>
            <w:tcW w:w="5720" w:type="dxa"/>
            <w:hideMark/>
          </w:tcPr>
          <w:p w14:paraId="3917A70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MINIERE DE LONGATSHIMO</w:t>
            </w:r>
          </w:p>
        </w:tc>
        <w:tc>
          <w:tcPr>
            <w:tcW w:w="1720" w:type="dxa"/>
            <w:noWrap/>
            <w:hideMark/>
          </w:tcPr>
          <w:p w14:paraId="5B707B9B"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1</w:t>
            </w:r>
          </w:p>
        </w:tc>
      </w:tr>
      <w:tr w:rsidR="00F000B0" w:rsidRPr="00B354ED" w14:paraId="35C04215"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70B21308"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20</w:t>
            </w:r>
          </w:p>
        </w:tc>
        <w:tc>
          <w:tcPr>
            <w:tcW w:w="5720" w:type="dxa"/>
            <w:hideMark/>
          </w:tcPr>
          <w:p w14:paraId="7A90FC5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SOCIETE MINIERE DU KATANGA</w:t>
            </w:r>
          </w:p>
        </w:tc>
        <w:tc>
          <w:tcPr>
            <w:tcW w:w="1720" w:type="dxa"/>
            <w:noWrap/>
            <w:hideMark/>
          </w:tcPr>
          <w:p w14:paraId="272E4956"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3</w:t>
            </w:r>
          </w:p>
        </w:tc>
      </w:tr>
      <w:tr w:rsidR="00F000B0" w:rsidRPr="00B354ED" w14:paraId="2200B4D8"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2BB3F14D"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21</w:t>
            </w:r>
          </w:p>
        </w:tc>
        <w:tc>
          <w:tcPr>
            <w:tcW w:w="5720" w:type="dxa"/>
            <w:hideMark/>
          </w:tcPr>
          <w:p w14:paraId="313CF05D"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TANTALE ET NIOBIUM DU TANGANYIKA</w:t>
            </w:r>
          </w:p>
        </w:tc>
        <w:tc>
          <w:tcPr>
            <w:tcW w:w="1720" w:type="dxa"/>
            <w:noWrap/>
            <w:hideMark/>
          </w:tcPr>
          <w:p w14:paraId="09DDEE04"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w:t>
            </w:r>
          </w:p>
        </w:tc>
      </w:tr>
      <w:tr w:rsidR="00F000B0" w:rsidRPr="00B354ED" w14:paraId="78030BA1" w14:textId="77777777" w:rsidTr="00943F67">
        <w:trPr>
          <w:trHeight w:val="227"/>
        </w:trPr>
        <w:tc>
          <w:tcPr>
            <w:cnfStyle w:val="001000000000" w:firstRow="0" w:lastRow="0" w:firstColumn="1" w:lastColumn="0" w:oddVBand="0" w:evenVBand="0" w:oddHBand="0" w:evenHBand="0" w:firstRowFirstColumn="0" w:firstRowLastColumn="0" w:lastRowFirstColumn="0" w:lastRowLastColumn="0"/>
            <w:tcW w:w="460" w:type="dxa"/>
            <w:noWrap/>
            <w:hideMark/>
          </w:tcPr>
          <w:p w14:paraId="10268E73" w14:textId="77777777" w:rsidR="00F000B0" w:rsidRPr="00B354ED" w:rsidRDefault="00F000B0" w:rsidP="00F000B0">
            <w:pPr>
              <w:jc w:val="both"/>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22</w:t>
            </w:r>
          </w:p>
        </w:tc>
        <w:tc>
          <w:tcPr>
            <w:tcW w:w="5720" w:type="dxa"/>
            <w:hideMark/>
          </w:tcPr>
          <w:p w14:paraId="32338C4C" w14:textId="77777777" w:rsidR="00F000B0" w:rsidRPr="00B354ED"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WALNI MINERAL COMPANY SPRL</w:t>
            </w:r>
          </w:p>
        </w:tc>
        <w:tc>
          <w:tcPr>
            <w:tcW w:w="1720" w:type="dxa"/>
            <w:noWrap/>
            <w:hideMark/>
          </w:tcPr>
          <w:p w14:paraId="7E9A1420" w14:textId="77777777" w:rsidR="00F000B0" w:rsidRPr="00B354ED" w:rsidRDefault="00F000B0" w:rsidP="00F000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fr-FR"/>
              </w:rPr>
            </w:pPr>
            <w:r w:rsidRPr="00B354ED">
              <w:rPr>
                <w:rFonts w:ascii="Times New Roman" w:eastAsia="Times New Roman" w:hAnsi="Times New Roman"/>
                <w:color w:val="000000"/>
                <w:sz w:val="16"/>
                <w:szCs w:val="16"/>
                <w:lang w:eastAsia="fr-FR"/>
              </w:rPr>
              <w:t>5</w:t>
            </w:r>
          </w:p>
        </w:tc>
      </w:tr>
    </w:tbl>
    <w:p w14:paraId="78A93FA0" w14:textId="73128098" w:rsidR="00373401" w:rsidRPr="00373401" w:rsidRDefault="00F000B0" w:rsidP="00373401">
      <w:pPr>
        <w:jc w:val="both"/>
        <w:rPr>
          <w:rFonts w:ascii="Times New Roman" w:hAnsi="Times New Roman"/>
          <w:sz w:val="18"/>
          <w:szCs w:val="18"/>
        </w:rPr>
      </w:pPr>
      <w:r w:rsidRPr="00B354ED">
        <w:rPr>
          <w:rFonts w:ascii="Times New Roman" w:hAnsi="Times New Roman"/>
          <w:sz w:val="18"/>
          <w:szCs w:val="18"/>
        </w:rPr>
        <w:t>Source : Registre CAMI 2016</w:t>
      </w:r>
    </w:p>
    <w:p w14:paraId="26B33466"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t>Au titre d’information, la liste  des titulaires ayant transformé leurs PR en PE en 2017 est présentée ci-dessous :</w:t>
      </w:r>
    </w:p>
    <w:tbl>
      <w:tblPr>
        <w:tblStyle w:val="TableauGrille1Clair1"/>
        <w:tblW w:w="8260" w:type="dxa"/>
        <w:tblInd w:w="250" w:type="dxa"/>
        <w:tblLook w:val="04A0" w:firstRow="1" w:lastRow="0" w:firstColumn="1" w:lastColumn="0" w:noHBand="0" w:noVBand="1"/>
      </w:tblPr>
      <w:tblGrid>
        <w:gridCol w:w="520"/>
        <w:gridCol w:w="6500"/>
        <w:gridCol w:w="1240"/>
      </w:tblGrid>
      <w:tr w:rsidR="00F000B0" w:rsidRPr="003C29D8" w14:paraId="6C9CE592" w14:textId="77777777" w:rsidTr="00943F6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43EDE926" w14:textId="77777777" w:rsidR="00F000B0" w:rsidRPr="003C29D8" w:rsidRDefault="00F000B0" w:rsidP="00F000B0">
            <w:pPr>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N°</w:t>
            </w:r>
          </w:p>
        </w:tc>
        <w:tc>
          <w:tcPr>
            <w:tcW w:w="6500" w:type="dxa"/>
            <w:noWrap/>
            <w:hideMark/>
          </w:tcPr>
          <w:p w14:paraId="19162435" w14:textId="77777777" w:rsidR="00F000B0" w:rsidRPr="003C29D8"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TITULAIRE</w:t>
            </w:r>
          </w:p>
        </w:tc>
        <w:tc>
          <w:tcPr>
            <w:tcW w:w="1240" w:type="dxa"/>
            <w:hideMark/>
          </w:tcPr>
          <w:p w14:paraId="0177D116" w14:textId="77777777" w:rsidR="00F000B0" w:rsidRPr="003C29D8" w:rsidRDefault="00F000B0" w:rsidP="00F000B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Nombre PR transformés en PE</w:t>
            </w:r>
          </w:p>
        </w:tc>
      </w:tr>
      <w:tr w:rsidR="00F000B0" w:rsidRPr="003C29D8" w14:paraId="6F23F1E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A20152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c>
          <w:tcPr>
            <w:tcW w:w="6500" w:type="dxa"/>
            <w:hideMark/>
          </w:tcPr>
          <w:p w14:paraId="1BD8CCB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Abdallah HASSAN ALI MOHAMED</w:t>
            </w:r>
          </w:p>
        </w:tc>
        <w:tc>
          <w:tcPr>
            <w:tcW w:w="1240" w:type="dxa"/>
            <w:noWrap/>
            <w:hideMark/>
          </w:tcPr>
          <w:p w14:paraId="6731735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B11BE4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10333EE"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c>
          <w:tcPr>
            <w:tcW w:w="6500" w:type="dxa"/>
            <w:hideMark/>
          </w:tcPr>
          <w:p w14:paraId="02EC2095"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ANVIL MINING CONGO Sarl</w:t>
            </w:r>
          </w:p>
        </w:tc>
        <w:tc>
          <w:tcPr>
            <w:tcW w:w="1240" w:type="dxa"/>
            <w:noWrap/>
            <w:hideMark/>
          </w:tcPr>
          <w:p w14:paraId="37AAB5E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9</w:t>
            </w:r>
          </w:p>
        </w:tc>
      </w:tr>
      <w:tr w:rsidR="00F000B0" w:rsidRPr="003C29D8" w14:paraId="78990CE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2BDACB1"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c>
          <w:tcPr>
            <w:tcW w:w="6500" w:type="dxa"/>
            <w:hideMark/>
          </w:tcPr>
          <w:p w14:paraId="2196E8A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BAHATI DIAMOND SPRL</w:t>
            </w:r>
          </w:p>
        </w:tc>
        <w:tc>
          <w:tcPr>
            <w:tcW w:w="1240" w:type="dxa"/>
            <w:noWrap/>
            <w:hideMark/>
          </w:tcPr>
          <w:p w14:paraId="35682D2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4DEF8B72"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28FFA2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4</w:t>
            </w:r>
          </w:p>
        </w:tc>
        <w:tc>
          <w:tcPr>
            <w:tcW w:w="6500" w:type="dxa"/>
            <w:hideMark/>
          </w:tcPr>
          <w:p w14:paraId="087D02CA"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BLACKSTONE PETROMINERALS Sprl</w:t>
            </w:r>
          </w:p>
        </w:tc>
        <w:tc>
          <w:tcPr>
            <w:tcW w:w="1240" w:type="dxa"/>
            <w:noWrap/>
            <w:hideMark/>
          </w:tcPr>
          <w:p w14:paraId="3EE0B794"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557071A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9C576B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5</w:t>
            </w:r>
          </w:p>
        </w:tc>
        <w:tc>
          <w:tcPr>
            <w:tcW w:w="6500" w:type="dxa"/>
            <w:hideMark/>
          </w:tcPr>
          <w:p w14:paraId="276856AC"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DOKOLO NDONA</w:t>
            </w:r>
          </w:p>
        </w:tc>
        <w:tc>
          <w:tcPr>
            <w:tcW w:w="1240" w:type="dxa"/>
            <w:noWrap/>
            <w:hideMark/>
          </w:tcPr>
          <w:p w14:paraId="68D1D8A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7F9DF0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5C4F35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6</w:t>
            </w:r>
          </w:p>
        </w:tc>
        <w:tc>
          <w:tcPr>
            <w:tcW w:w="6500" w:type="dxa"/>
            <w:hideMark/>
          </w:tcPr>
          <w:p w14:paraId="7FB89BC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Eric Dieudonné Mapoti Olela</w:t>
            </w:r>
          </w:p>
        </w:tc>
        <w:tc>
          <w:tcPr>
            <w:tcW w:w="1240" w:type="dxa"/>
            <w:noWrap/>
            <w:hideMark/>
          </w:tcPr>
          <w:p w14:paraId="683E456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0CA4E7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7EE027D"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7</w:t>
            </w:r>
          </w:p>
        </w:tc>
        <w:tc>
          <w:tcPr>
            <w:tcW w:w="6500" w:type="dxa"/>
            <w:hideMark/>
          </w:tcPr>
          <w:p w14:paraId="50E21AF3"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Freddy BOMPANZE ENGOMBE</w:t>
            </w:r>
          </w:p>
        </w:tc>
        <w:tc>
          <w:tcPr>
            <w:tcW w:w="1240" w:type="dxa"/>
            <w:noWrap/>
            <w:hideMark/>
          </w:tcPr>
          <w:p w14:paraId="0D30B632"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7FCD9B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C301A53"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8</w:t>
            </w:r>
          </w:p>
        </w:tc>
        <w:tc>
          <w:tcPr>
            <w:tcW w:w="6500" w:type="dxa"/>
            <w:hideMark/>
          </w:tcPr>
          <w:p w14:paraId="2C6E8A64"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FURNEIKO FIRE EXTRUTIONS</w:t>
            </w:r>
          </w:p>
        </w:tc>
        <w:tc>
          <w:tcPr>
            <w:tcW w:w="1240" w:type="dxa"/>
            <w:noWrap/>
            <w:hideMark/>
          </w:tcPr>
          <w:p w14:paraId="27BFE69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46AEDDCD"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A37F155"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9</w:t>
            </w:r>
          </w:p>
        </w:tc>
        <w:tc>
          <w:tcPr>
            <w:tcW w:w="6500" w:type="dxa"/>
            <w:hideMark/>
          </w:tcPr>
          <w:p w14:paraId="1F320CCB"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GICC Sarl</w:t>
            </w:r>
          </w:p>
        </w:tc>
        <w:tc>
          <w:tcPr>
            <w:tcW w:w="1240" w:type="dxa"/>
            <w:noWrap/>
            <w:hideMark/>
          </w:tcPr>
          <w:p w14:paraId="5E218316"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48855F4"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D7FD026"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10</w:t>
            </w:r>
          </w:p>
        </w:tc>
        <w:tc>
          <w:tcPr>
            <w:tcW w:w="6500" w:type="dxa"/>
            <w:hideMark/>
          </w:tcPr>
          <w:p w14:paraId="6B611100"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IRON MOUNTAIN ENTERPRISES SPRL</w:t>
            </w:r>
          </w:p>
        </w:tc>
        <w:tc>
          <w:tcPr>
            <w:tcW w:w="1240" w:type="dxa"/>
            <w:noWrap/>
            <w:hideMark/>
          </w:tcPr>
          <w:p w14:paraId="05D62CF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36</w:t>
            </w:r>
          </w:p>
        </w:tc>
      </w:tr>
      <w:tr w:rsidR="00F000B0" w:rsidRPr="003C29D8" w14:paraId="21FE156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D56310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11</w:t>
            </w:r>
          </w:p>
        </w:tc>
        <w:tc>
          <w:tcPr>
            <w:tcW w:w="6500" w:type="dxa"/>
            <w:hideMark/>
          </w:tcPr>
          <w:p w14:paraId="6EA3CD0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KANUKA MINING COMPANY</w:t>
            </w:r>
          </w:p>
        </w:tc>
        <w:tc>
          <w:tcPr>
            <w:tcW w:w="1240" w:type="dxa"/>
            <w:noWrap/>
            <w:hideMark/>
          </w:tcPr>
          <w:p w14:paraId="1CFC9C1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238FC12"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B86BBA0"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12</w:t>
            </w:r>
          </w:p>
        </w:tc>
        <w:tc>
          <w:tcPr>
            <w:tcW w:w="6500" w:type="dxa"/>
            <w:hideMark/>
          </w:tcPr>
          <w:p w14:paraId="6AD8A1FE"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KISENGO MINING</w:t>
            </w:r>
          </w:p>
        </w:tc>
        <w:tc>
          <w:tcPr>
            <w:tcW w:w="1240" w:type="dxa"/>
            <w:noWrap/>
            <w:hideMark/>
          </w:tcPr>
          <w:p w14:paraId="13CB884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5CC3A57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F2AE8F2"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13</w:t>
            </w:r>
          </w:p>
        </w:tc>
        <w:tc>
          <w:tcPr>
            <w:tcW w:w="6500" w:type="dxa"/>
            <w:hideMark/>
          </w:tcPr>
          <w:p w14:paraId="0C3784C7"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LEK MINING SPRL</w:t>
            </w:r>
          </w:p>
        </w:tc>
        <w:tc>
          <w:tcPr>
            <w:tcW w:w="1240" w:type="dxa"/>
            <w:noWrap/>
            <w:hideMark/>
          </w:tcPr>
          <w:p w14:paraId="48ED903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675EC450"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8AEB0BF"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14</w:t>
            </w:r>
          </w:p>
        </w:tc>
        <w:tc>
          <w:tcPr>
            <w:tcW w:w="6500" w:type="dxa"/>
            <w:hideMark/>
          </w:tcPr>
          <w:p w14:paraId="40BF8147"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LUAMBO MINING</w:t>
            </w:r>
          </w:p>
        </w:tc>
        <w:tc>
          <w:tcPr>
            <w:tcW w:w="1240" w:type="dxa"/>
            <w:noWrap/>
            <w:hideMark/>
          </w:tcPr>
          <w:p w14:paraId="0DCF5E3B"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C2A607E"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99E2AD2"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15</w:t>
            </w:r>
          </w:p>
        </w:tc>
        <w:tc>
          <w:tcPr>
            <w:tcW w:w="6500" w:type="dxa"/>
            <w:hideMark/>
          </w:tcPr>
          <w:p w14:paraId="03DD9A80"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LUBANGI MUTEBA</w:t>
            </w:r>
          </w:p>
        </w:tc>
        <w:tc>
          <w:tcPr>
            <w:tcW w:w="1240" w:type="dxa"/>
            <w:noWrap/>
            <w:hideMark/>
          </w:tcPr>
          <w:p w14:paraId="677CDCA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33DA1C99"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40C4897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16</w:t>
            </w:r>
          </w:p>
        </w:tc>
        <w:tc>
          <w:tcPr>
            <w:tcW w:w="6500" w:type="dxa"/>
            <w:hideMark/>
          </w:tcPr>
          <w:p w14:paraId="4EDB070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Mariam DJANDE WAMBAL</w:t>
            </w:r>
          </w:p>
        </w:tc>
        <w:tc>
          <w:tcPr>
            <w:tcW w:w="1240" w:type="dxa"/>
            <w:noWrap/>
            <w:hideMark/>
          </w:tcPr>
          <w:p w14:paraId="43A88A9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54C4ECE5"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187ED93"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17</w:t>
            </w:r>
          </w:p>
        </w:tc>
        <w:tc>
          <w:tcPr>
            <w:tcW w:w="6500" w:type="dxa"/>
            <w:hideMark/>
          </w:tcPr>
          <w:p w14:paraId="66B211FE"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MINING MINERAL RESOURCES Sarl</w:t>
            </w:r>
          </w:p>
        </w:tc>
        <w:tc>
          <w:tcPr>
            <w:tcW w:w="1240" w:type="dxa"/>
            <w:noWrap/>
            <w:hideMark/>
          </w:tcPr>
          <w:p w14:paraId="5869253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216EC95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1C0DF1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18</w:t>
            </w:r>
          </w:p>
        </w:tc>
        <w:tc>
          <w:tcPr>
            <w:tcW w:w="6500" w:type="dxa"/>
            <w:hideMark/>
          </w:tcPr>
          <w:p w14:paraId="7F3B3D4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REGAL MANIEMA</w:t>
            </w:r>
          </w:p>
        </w:tc>
        <w:tc>
          <w:tcPr>
            <w:tcW w:w="1240" w:type="dxa"/>
            <w:noWrap/>
            <w:hideMark/>
          </w:tcPr>
          <w:p w14:paraId="1EAB01B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6431D695"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322ED6FD"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19</w:t>
            </w:r>
          </w:p>
        </w:tc>
        <w:tc>
          <w:tcPr>
            <w:tcW w:w="6500" w:type="dxa"/>
            <w:hideMark/>
          </w:tcPr>
          <w:p w14:paraId="49FA6D3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SHARMA VIKAS</w:t>
            </w:r>
          </w:p>
        </w:tc>
        <w:tc>
          <w:tcPr>
            <w:tcW w:w="1240" w:type="dxa"/>
            <w:noWrap/>
            <w:hideMark/>
          </w:tcPr>
          <w:p w14:paraId="273CD7DC"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1B4009AD"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701ECCA"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20</w:t>
            </w:r>
          </w:p>
        </w:tc>
        <w:tc>
          <w:tcPr>
            <w:tcW w:w="6500" w:type="dxa"/>
            <w:hideMark/>
          </w:tcPr>
          <w:p w14:paraId="4FE5F958"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D'EXPLOITATION DES GISEMENTS DE MALEMBA NKULU</w:t>
            </w:r>
          </w:p>
        </w:tc>
        <w:tc>
          <w:tcPr>
            <w:tcW w:w="1240" w:type="dxa"/>
            <w:noWrap/>
            <w:hideMark/>
          </w:tcPr>
          <w:p w14:paraId="449B7764"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529695E8"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2BFFD3B"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21</w:t>
            </w:r>
          </w:p>
        </w:tc>
        <w:tc>
          <w:tcPr>
            <w:tcW w:w="6500" w:type="dxa"/>
            <w:hideMark/>
          </w:tcPr>
          <w:p w14:paraId="1A626992" w14:textId="77777777" w:rsidR="00F000B0" w:rsidRPr="00B072C9"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ES"/>
              </w:rPr>
            </w:pPr>
            <w:r w:rsidRPr="00B072C9">
              <w:rPr>
                <w:rFonts w:ascii="Times New Roman" w:hAnsi="Times New Roman"/>
                <w:sz w:val="18"/>
                <w:lang w:val="es-ES"/>
              </w:rPr>
              <w:t>SOCIETE MINIERE DE KILO MOTO</w:t>
            </w:r>
          </w:p>
        </w:tc>
        <w:tc>
          <w:tcPr>
            <w:tcW w:w="1240" w:type="dxa"/>
            <w:noWrap/>
            <w:hideMark/>
          </w:tcPr>
          <w:p w14:paraId="4C78D52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6</w:t>
            </w:r>
          </w:p>
        </w:tc>
      </w:tr>
      <w:tr w:rsidR="00F000B0" w:rsidRPr="003C29D8" w14:paraId="3B5D5AF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7601C377"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22</w:t>
            </w:r>
          </w:p>
        </w:tc>
        <w:tc>
          <w:tcPr>
            <w:tcW w:w="6500" w:type="dxa"/>
            <w:hideMark/>
          </w:tcPr>
          <w:p w14:paraId="3CB4926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MINIERE DE LONGATSHIMO</w:t>
            </w:r>
          </w:p>
        </w:tc>
        <w:tc>
          <w:tcPr>
            <w:tcW w:w="1240" w:type="dxa"/>
            <w:noWrap/>
            <w:hideMark/>
          </w:tcPr>
          <w:p w14:paraId="76627CDE"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20B539E6"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07779B90"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23</w:t>
            </w:r>
          </w:p>
        </w:tc>
        <w:tc>
          <w:tcPr>
            <w:tcW w:w="6500" w:type="dxa"/>
            <w:hideMark/>
          </w:tcPr>
          <w:p w14:paraId="12979106"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SOCIETE MINIERE DU KATANGA</w:t>
            </w:r>
          </w:p>
        </w:tc>
        <w:tc>
          <w:tcPr>
            <w:tcW w:w="1240" w:type="dxa"/>
            <w:noWrap/>
            <w:hideMark/>
          </w:tcPr>
          <w:p w14:paraId="5BA33F0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3</w:t>
            </w:r>
          </w:p>
        </w:tc>
      </w:tr>
      <w:tr w:rsidR="00F000B0" w:rsidRPr="003C29D8" w14:paraId="70D9162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637ADDEE"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24</w:t>
            </w:r>
          </w:p>
        </w:tc>
        <w:tc>
          <w:tcPr>
            <w:tcW w:w="6500" w:type="dxa"/>
            <w:hideMark/>
          </w:tcPr>
          <w:p w14:paraId="7BA0E832"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Sophie TUMALEO MWANGE</w:t>
            </w:r>
          </w:p>
        </w:tc>
        <w:tc>
          <w:tcPr>
            <w:tcW w:w="1240" w:type="dxa"/>
            <w:noWrap/>
            <w:hideMark/>
          </w:tcPr>
          <w:p w14:paraId="66F8C63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1</w:t>
            </w:r>
          </w:p>
        </w:tc>
      </w:tr>
      <w:tr w:rsidR="00F000B0" w:rsidRPr="003C29D8" w14:paraId="0B10F397"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5333BEC4"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25</w:t>
            </w:r>
          </w:p>
        </w:tc>
        <w:tc>
          <w:tcPr>
            <w:tcW w:w="6500" w:type="dxa"/>
            <w:hideMark/>
          </w:tcPr>
          <w:p w14:paraId="032A54E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TANTALE ET NIOBIUM DU TANGANYIKA</w:t>
            </w:r>
          </w:p>
        </w:tc>
        <w:tc>
          <w:tcPr>
            <w:tcW w:w="1240" w:type="dxa"/>
            <w:noWrap/>
            <w:hideMark/>
          </w:tcPr>
          <w:p w14:paraId="0A08B4E9"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w:t>
            </w:r>
          </w:p>
        </w:tc>
      </w:tr>
      <w:tr w:rsidR="00F000B0" w:rsidRPr="003C29D8" w14:paraId="5AA94DA1" w14:textId="77777777" w:rsidTr="00943F67">
        <w:trPr>
          <w:trHeight w:val="20"/>
        </w:trPr>
        <w:tc>
          <w:tcPr>
            <w:cnfStyle w:val="001000000000" w:firstRow="0" w:lastRow="0" w:firstColumn="1" w:lastColumn="0" w:oddVBand="0" w:evenVBand="0" w:oddHBand="0" w:evenHBand="0" w:firstRowFirstColumn="0" w:firstRowLastColumn="0" w:lastRowFirstColumn="0" w:lastRowLastColumn="0"/>
            <w:tcW w:w="520" w:type="dxa"/>
            <w:noWrap/>
            <w:hideMark/>
          </w:tcPr>
          <w:p w14:paraId="245DA105" w14:textId="77777777" w:rsidR="00F000B0" w:rsidRPr="003C29D8" w:rsidRDefault="00F000B0" w:rsidP="00F000B0">
            <w:pPr>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26</w:t>
            </w:r>
          </w:p>
        </w:tc>
        <w:tc>
          <w:tcPr>
            <w:tcW w:w="6500" w:type="dxa"/>
            <w:hideMark/>
          </w:tcPr>
          <w:p w14:paraId="36F6F7B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eastAsia="fr-FR"/>
              </w:rPr>
            </w:pPr>
            <w:r w:rsidRPr="003C29D8">
              <w:rPr>
                <w:rFonts w:ascii="Times New Roman" w:eastAsia="Times New Roman" w:hAnsi="Times New Roman"/>
                <w:sz w:val="18"/>
                <w:szCs w:val="18"/>
                <w:lang w:eastAsia="fr-FR"/>
              </w:rPr>
              <w:t>WALNI MINERAL COMPANY SPRL</w:t>
            </w:r>
          </w:p>
        </w:tc>
        <w:tc>
          <w:tcPr>
            <w:tcW w:w="1240" w:type="dxa"/>
            <w:noWrap/>
            <w:hideMark/>
          </w:tcPr>
          <w:p w14:paraId="3B8AE613"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8"/>
                <w:szCs w:val="18"/>
                <w:lang w:eastAsia="fr-FR"/>
              </w:rPr>
            </w:pPr>
            <w:r w:rsidRPr="003C29D8">
              <w:rPr>
                <w:rFonts w:ascii="Times New Roman" w:eastAsia="Times New Roman" w:hAnsi="Times New Roman"/>
                <w:color w:val="000000"/>
                <w:sz w:val="18"/>
                <w:szCs w:val="18"/>
                <w:lang w:eastAsia="fr-FR"/>
              </w:rPr>
              <w:t>4</w:t>
            </w:r>
          </w:p>
        </w:tc>
      </w:tr>
    </w:tbl>
    <w:p w14:paraId="2C13F474" w14:textId="77777777" w:rsidR="00F000B0" w:rsidRPr="003C29D8" w:rsidRDefault="00F000B0" w:rsidP="00943F67">
      <w:pPr>
        <w:ind w:left="142"/>
        <w:jc w:val="both"/>
        <w:rPr>
          <w:rFonts w:ascii="Times New Roman" w:hAnsi="Times New Roman"/>
          <w:sz w:val="18"/>
          <w:szCs w:val="18"/>
        </w:rPr>
      </w:pPr>
      <w:r w:rsidRPr="003C29D8">
        <w:rPr>
          <w:rFonts w:ascii="Times New Roman" w:hAnsi="Times New Roman"/>
          <w:sz w:val="18"/>
          <w:szCs w:val="18"/>
        </w:rPr>
        <w:t>Source : Registre CAMI 2017</w:t>
      </w:r>
    </w:p>
    <w:p w14:paraId="1495CD40" w14:textId="77777777" w:rsidR="00F000B0" w:rsidRPr="00AA5351" w:rsidRDefault="00F000B0" w:rsidP="00F000B0">
      <w:pPr>
        <w:jc w:val="both"/>
        <w:rPr>
          <w:rFonts w:ascii="Times New Roman" w:hAnsi="Times New Roman"/>
          <w:sz w:val="24"/>
          <w:szCs w:val="24"/>
        </w:rPr>
      </w:pPr>
      <w:r w:rsidRPr="00AA5351">
        <w:rPr>
          <w:rFonts w:ascii="Times New Roman" w:hAnsi="Times New Roman"/>
          <w:sz w:val="24"/>
          <w:szCs w:val="24"/>
        </w:rPr>
        <w:lastRenderedPageBreak/>
        <w:t xml:space="preserve">La situation </w:t>
      </w:r>
      <w:r>
        <w:rPr>
          <w:rFonts w:ascii="Times New Roman" w:hAnsi="Times New Roman"/>
          <w:sz w:val="24"/>
          <w:szCs w:val="24"/>
        </w:rPr>
        <w:t xml:space="preserve">de l’année </w:t>
      </w:r>
      <w:r w:rsidRPr="00AA5351">
        <w:rPr>
          <w:rFonts w:ascii="Times New Roman" w:hAnsi="Times New Roman"/>
          <w:sz w:val="24"/>
          <w:szCs w:val="24"/>
        </w:rPr>
        <w:t xml:space="preserve">2017 contient  une  EPE et  10 personnes physiques. La cession  de 5% du capital social ne s’applique pas à ces  deux catégories. </w:t>
      </w:r>
    </w:p>
    <w:p w14:paraId="51EFD230" w14:textId="76B9E5FA" w:rsidR="00F000B0" w:rsidRDefault="00F000B0" w:rsidP="00F000B0">
      <w:pPr>
        <w:spacing w:line="276" w:lineRule="auto"/>
        <w:jc w:val="both"/>
        <w:rPr>
          <w:rFonts w:ascii="Times New Roman" w:hAnsi="Times New Roman"/>
          <w:sz w:val="24"/>
          <w:szCs w:val="24"/>
        </w:rPr>
      </w:pPr>
      <w:r w:rsidRPr="00AA5351">
        <w:rPr>
          <w:rFonts w:ascii="Times New Roman" w:hAnsi="Times New Roman"/>
          <w:sz w:val="24"/>
          <w:szCs w:val="24"/>
        </w:rPr>
        <w:t xml:space="preserve">En rapprochant le répertoire des entreprises détenues par l’Etat fourni par le  Ministère du Portefeuille avec la liste des titulaires ayant transformé  les PR en PE  renseignée par </w:t>
      </w:r>
      <w:r>
        <w:rPr>
          <w:rFonts w:ascii="Times New Roman" w:hAnsi="Times New Roman"/>
          <w:sz w:val="24"/>
          <w:szCs w:val="24"/>
        </w:rPr>
        <w:t xml:space="preserve">le </w:t>
      </w:r>
      <w:r w:rsidRPr="00AA5351">
        <w:rPr>
          <w:rFonts w:ascii="Times New Roman" w:hAnsi="Times New Roman"/>
          <w:sz w:val="24"/>
          <w:szCs w:val="24"/>
        </w:rPr>
        <w:t xml:space="preserve">CAMI,  il s’avère que la situation présentée par le Ministère  </w:t>
      </w:r>
      <w:r>
        <w:rPr>
          <w:rFonts w:ascii="Times New Roman" w:hAnsi="Times New Roman"/>
          <w:sz w:val="24"/>
          <w:szCs w:val="24"/>
        </w:rPr>
        <w:t xml:space="preserve">du Portefeuille </w:t>
      </w:r>
      <w:r w:rsidRPr="00AA5351">
        <w:rPr>
          <w:rFonts w:ascii="Times New Roman" w:hAnsi="Times New Roman"/>
          <w:sz w:val="24"/>
          <w:szCs w:val="24"/>
        </w:rPr>
        <w:t xml:space="preserve">n’est pas  exhaustive vu le nombre élevé  des titulaires ayant transformé  leurs PR en PE en 2016 mais qui ne sont pas repris dans la </w:t>
      </w:r>
      <w:r>
        <w:rPr>
          <w:rFonts w:ascii="Times New Roman" w:hAnsi="Times New Roman"/>
          <w:sz w:val="24"/>
          <w:szCs w:val="24"/>
        </w:rPr>
        <w:t>la liste de la</w:t>
      </w:r>
      <w:r w:rsidRPr="00AA5351">
        <w:rPr>
          <w:rFonts w:ascii="Times New Roman" w:hAnsi="Times New Roman"/>
          <w:sz w:val="24"/>
          <w:szCs w:val="24"/>
        </w:rPr>
        <w:t xml:space="preserve"> situation de participation contenue dans le tableau ci-dessus. En effet, suivant le Registre </w:t>
      </w:r>
      <w:r>
        <w:rPr>
          <w:rFonts w:ascii="Times New Roman" w:hAnsi="Times New Roman"/>
          <w:sz w:val="24"/>
          <w:szCs w:val="24"/>
        </w:rPr>
        <w:t xml:space="preserve">du </w:t>
      </w:r>
      <w:r w:rsidRPr="00AA5351">
        <w:rPr>
          <w:rFonts w:ascii="Times New Roman" w:hAnsi="Times New Roman"/>
          <w:sz w:val="24"/>
          <w:szCs w:val="24"/>
        </w:rPr>
        <w:t>CAMI 2016, vingt-deux (22) titulaires  ont transformé leurs PR en PE. Sur ce nombre, six sont des personnes physiques et deux sont des EPE  deux catégories non concernées par la cession à l’Etat  de 5%  du capital social.  Sur la différence, soit quatorze, aucun titulaire n’est repris dans la situation de participation directe fourni  par le Ministère du Portefeuille. Il se pose donc un problème de cohérence</w:t>
      </w:r>
      <w:r>
        <w:rPr>
          <w:rFonts w:ascii="Times New Roman" w:hAnsi="Times New Roman"/>
          <w:sz w:val="24"/>
          <w:szCs w:val="24"/>
        </w:rPr>
        <w:t xml:space="preserve">, </w:t>
      </w:r>
      <w:r w:rsidRPr="00AA5351">
        <w:rPr>
          <w:rFonts w:ascii="Times New Roman" w:hAnsi="Times New Roman"/>
          <w:sz w:val="24"/>
          <w:szCs w:val="24"/>
        </w:rPr>
        <w:t>d’exhaustivité</w:t>
      </w:r>
      <w:r>
        <w:rPr>
          <w:rFonts w:ascii="Times New Roman" w:hAnsi="Times New Roman"/>
          <w:sz w:val="24"/>
          <w:szCs w:val="24"/>
        </w:rPr>
        <w:t xml:space="preserve"> et même de fiabilité des informations fournies à l’ITIE au titre de ce chapitre par les deux Ministères</w:t>
      </w:r>
    </w:p>
    <w:p w14:paraId="3D042742" w14:textId="54B8AEEA" w:rsidR="00EF425B" w:rsidRDefault="00EF425B" w:rsidP="00F000B0">
      <w:pPr>
        <w:spacing w:line="276" w:lineRule="auto"/>
        <w:jc w:val="both"/>
        <w:rPr>
          <w:rFonts w:ascii="Times New Roman" w:hAnsi="Times New Roman"/>
          <w:sz w:val="24"/>
          <w:szCs w:val="24"/>
        </w:rPr>
      </w:pPr>
      <w:r>
        <w:rPr>
          <w:noProof/>
          <w:lang w:eastAsia="fr-FR"/>
        </w:rPr>
        <mc:AlternateContent>
          <mc:Choice Requires="wps">
            <w:drawing>
              <wp:anchor distT="0" distB="0" distL="114300" distR="114300" simplePos="0" relativeHeight="251678720" behindDoc="0" locked="0" layoutInCell="1" allowOverlap="1" wp14:anchorId="5F718899" wp14:editId="3ED8476A">
                <wp:simplePos x="0" y="0"/>
                <wp:positionH relativeFrom="margin">
                  <wp:align>right</wp:align>
                </wp:positionH>
                <wp:positionV relativeFrom="paragraph">
                  <wp:posOffset>-1009</wp:posOffset>
                </wp:positionV>
                <wp:extent cx="6073589" cy="1308848"/>
                <wp:effectExtent l="0" t="0" r="22860" b="24765"/>
                <wp:wrapNone/>
                <wp:docPr id="25" name="Zone de texte 25"/>
                <wp:cNvGraphicFramePr/>
                <a:graphic xmlns:a="http://schemas.openxmlformats.org/drawingml/2006/main">
                  <a:graphicData uri="http://schemas.microsoft.com/office/word/2010/wordprocessingShape">
                    <wps:wsp>
                      <wps:cNvSpPr txBox="1"/>
                      <wps:spPr>
                        <a:xfrm>
                          <a:off x="0" y="0"/>
                          <a:ext cx="6073589" cy="1308848"/>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30D0279" w14:textId="087ECE56" w:rsidR="00553BF2" w:rsidRPr="00753E9A" w:rsidRDefault="00553BF2"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8B58EBA" w14:textId="77777777" w:rsidR="00553BF2" w:rsidRPr="00EF425B" w:rsidRDefault="00553BF2" w:rsidP="00EF425B">
                            <w:pPr>
                              <w:rPr>
                                <w:color w:val="404040" w:themeColor="text1" w:themeTint="BF"/>
                              </w:rPr>
                            </w:pPr>
                            <w:r w:rsidRPr="00EF425B">
                              <w:rPr>
                                <w:rFonts w:ascii="Times New Roman" w:hAnsi="Times New Roman"/>
                                <w:b/>
                                <w:color w:val="404040" w:themeColor="text1" w:themeTint="BF"/>
                                <w:sz w:val="24"/>
                                <w:szCs w:val="24"/>
                              </w:rPr>
                              <w:t>Au Gouvernement  de :</w:t>
                            </w:r>
                          </w:p>
                          <w:p w14:paraId="7831401F" w14:textId="77777777" w:rsidR="00553BF2" w:rsidRPr="00753E9A" w:rsidRDefault="00553BF2" w:rsidP="00EF425B">
                            <w:pPr>
                              <w:jc w:val="both"/>
                              <w:rPr>
                                <w:rFonts w:ascii="Times New Roman" w:hAnsi="Times New Roman"/>
                                <w:color w:val="385623" w:themeColor="accent6" w:themeShade="80"/>
                                <w:sz w:val="24"/>
                                <w:szCs w:val="24"/>
                              </w:rPr>
                            </w:pPr>
                            <w:r>
                              <w:rPr>
                                <w:rFonts w:ascii="Times New Roman" w:hAnsi="Times New Roman"/>
                                <w:color w:val="404040" w:themeColor="text1" w:themeTint="BF"/>
                                <w:sz w:val="24"/>
                                <w:szCs w:val="24"/>
                              </w:rPr>
                              <w:t xml:space="preserve">Veiller à ce que </w:t>
                            </w:r>
                            <w:r w:rsidRPr="00753E9A">
                              <w:rPr>
                                <w:rFonts w:ascii="Times New Roman" w:hAnsi="Times New Roman"/>
                                <w:color w:val="404040" w:themeColor="text1" w:themeTint="BF"/>
                                <w:sz w:val="24"/>
                                <w:szCs w:val="24"/>
                              </w:rPr>
                              <w:t>le Ministère des Mines et celui du Portefeuille travaillent de concert pour garan</w:t>
                            </w:r>
                            <w:r>
                              <w:rPr>
                                <w:rFonts w:ascii="Times New Roman" w:hAnsi="Times New Roman"/>
                                <w:color w:val="404040" w:themeColor="text1" w:themeTint="BF"/>
                                <w:sz w:val="24"/>
                                <w:szCs w:val="24"/>
                              </w:rPr>
                              <w:t xml:space="preserve">tir les intérêts de l’Etat et </w:t>
                            </w:r>
                            <w:r w:rsidRPr="00753E9A">
                              <w:rPr>
                                <w:rFonts w:ascii="Times New Roman" w:hAnsi="Times New Roman"/>
                                <w:color w:val="404040" w:themeColor="text1" w:themeTint="BF"/>
                                <w:sz w:val="24"/>
                                <w:szCs w:val="24"/>
                              </w:rPr>
                              <w:t>assurer  une information fiable</w:t>
                            </w:r>
                            <w:r>
                              <w:rPr>
                                <w:rFonts w:ascii="Times New Roman" w:hAnsi="Times New Roman"/>
                                <w:color w:val="404040" w:themeColor="text1" w:themeTint="BF"/>
                                <w:sz w:val="24"/>
                                <w:szCs w:val="24"/>
                              </w:rPr>
                              <w:t>, exhaustive</w:t>
                            </w:r>
                            <w:r w:rsidRPr="00753E9A">
                              <w:rPr>
                                <w:rFonts w:ascii="Times New Roman" w:hAnsi="Times New Roman"/>
                                <w:color w:val="404040" w:themeColor="text1" w:themeTint="BF"/>
                                <w:sz w:val="24"/>
                                <w:szCs w:val="24"/>
                              </w:rPr>
                              <w:t xml:space="preserve"> et désagrégée  de la situation exacte de participation de l’Etat dans les Industries extractives.</w:t>
                            </w:r>
                            <w:r w:rsidRPr="00753E9A">
                              <w:rPr>
                                <w:rFonts w:ascii="Times New Roman" w:hAnsi="Times New Roman"/>
                                <w:color w:val="385623" w:themeColor="accent6" w:themeShade="8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8899" id="Zone de texte 25" o:spid="_x0000_s1039" type="#_x0000_t202" style="position:absolute;left:0;text-align:left;margin-left:427.05pt;margin-top:-.1pt;width:478.25pt;height:103.0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" fillcolor="#deeaf6 [660]" strokecolor="#deeaf6 [660]" strokeweight=".5pt">
                <v:textbox>
                  <w:txbxContent>
                    <w:p w14:paraId="530D0279" w14:textId="087ECE56" w:rsidR="00553BF2" w:rsidRPr="00753E9A" w:rsidRDefault="00553BF2"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1F3864" w:themeColor="accent5" w:themeShade="80"/>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48B58EBA" w14:textId="77777777" w:rsidR="00553BF2" w:rsidRPr="00EF425B" w:rsidRDefault="00553BF2" w:rsidP="00EF425B">
                      <w:pPr>
                        <w:rPr>
                          <w:color w:val="404040" w:themeColor="text1" w:themeTint="BF"/>
                        </w:rPr>
                      </w:pPr>
                      <w:r w:rsidRPr="00EF425B">
                        <w:rPr>
                          <w:rFonts w:ascii="Times New Roman" w:hAnsi="Times New Roman"/>
                          <w:b/>
                          <w:color w:val="404040" w:themeColor="text1" w:themeTint="BF"/>
                          <w:sz w:val="24"/>
                          <w:szCs w:val="24"/>
                        </w:rPr>
                        <w:t>Au Gouvernement  de :</w:t>
                      </w:r>
                    </w:p>
                    <w:p w14:paraId="7831401F" w14:textId="77777777" w:rsidR="00553BF2" w:rsidRPr="00753E9A" w:rsidRDefault="00553BF2" w:rsidP="00EF425B">
                      <w:pPr>
                        <w:jc w:val="both"/>
                        <w:rPr>
                          <w:rFonts w:ascii="Times New Roman" w:hAnsi="Times New Roman"/>
                          <w:color w:val="385623" w:themeColor="accent6" w:themeShade="80"/>
                          <w:sz w:val="24"/>
                          <w:szCs w:val="24"/>
                        </w:rPr>
                      </w:pPr>
                      <w:r>
                        <w:rPr>
                          <w:rFonts w:ascii="Times New Roman" w:hAnsi="Times New Roman"/>
                          <w:color w:val="404040" w:themeColor="text1" w:themeTint="BF"/>
                          <w:sz w:val="24"/>
                          <w:szCs w:val="24"/>
                        </w:rPr>
                        <w:t xml:space="preserve">Veiller à ce que </w:t>
                      </w:r>
                      <w:r w:rsidRPr="00753E9A">
                        <w:rPr>
                          <w:rFonts w:ascii="Times New Roman" w:hAnsi="Times New Roman"/>
                          <w:color w:val="404040" w:themeColor="text1" w:themeTint="BF"/>
                          <w:sz w:val="24"/>
                          <w:szCs w:val="24"/>
                        </w:rPr>
                        <w:t>le Ministère des Mines et celui du Portefeuille travaillent de concert pour garan</w:t>
                      </w:r>
                      <w:r>
                        <w:rPr>
                          <w:rFonts w:ascii="Times New Roman" w:hAnsi="Times New Roman"/>
                          <w:color w:val="404040" w:themeColor="text1" w:themeTint="BF"/>
                          <w:sz w:val="24"/>
                          <w:szCs w:val="24"/>
                        </w:rPr>
                        <w:t xml:space="preserve">tir les intérêts de l’Etat et </w:t>
                      </w:r>
                      <w:r w:rsidRPr="00753E9A">
                        <w:rPr>
                          <w:rFonts w:ascii="Times New Roman" w:hAnsi="Times New Roman"/>
                          <w:color w:val="404040" w:themeColor="text1" w:themeTint="BF"/>
                          <w:sz w:val="24"/>
                          <w:szCs w:val="24"/>
                        </w:rPr>
                        <w:t>assurer  une information fiable</w:t>
                      </w:r>
                      <w:r>
                        <w:rPr>
                          <w:rFonts w:ascii="Times New Roman" w:hAnsi="Times New Roman"/>
                          <w:color w:val="404040" w:themeColor="text1" w:themeTint="BF"/>
                          <w:sz w:val="24"/>
                          <w:szCs w:val="24"/>
                        </w:rPr>
                        <w:t>, exhaustive</w:t>
                      </w:r>
                      <w:r w:rsidRPr="00753E9A">
                        <w:rPr>
                          <w:rFonts w:ascii="Times New Roman" w:hAnsi="Times New Roman"/>
                          <w:color w:val="404040" w:themeColor="text1" w:themeTint="BF"/>
                          <w:sz w:val="24"/>
                          <w:szCs w:val="24"/>
                        </w:rPr>
                        <w:t xml:space="preserve"> et désagrégée  de la situation exacte de participation de l’Etat dans les Industries extractives.</w:t>
                      </w:r>
                      <w:r w:rsidRPr="00753E9A">
                        <w:rPr>
                          <w:rFonts w:ascii="Times New Roman" w:hAnsi="Times New Roman"/>
                          <w:color w:val="385623" w:themeColor="accent6" w:themeShade="80"/>
                          <w:sz w:val="24"/>
                          <w:szCs w:val="24"/>
                        </w:rPr>
                        <w:t xml:space="preserve">  </w:t>
                      </w:r>
                    </w:p>
                  </w:txbxContent>
                </v:textbox>
                <w10:wrap anchorx="margin"/>
              </v:shape>
            </w:pict>
          </mc:Fallback>
        </mc:AlternateContent>
      </w:r>
    </w:p>
    <w:p w14:paraId="4EBBD105" w14:textId="77777777" w:rsidR="00EF425B" w:rsidRDefault="00EF425B" w:rsidP="00F000B0">
      <w:pPr>
        <w:spacing w:line="276" w:lineRule="auto"/>
        <w:jc w:val="both"/>
        <w:rPr>
          <w:rFonts w:ascii="Times New Roman" w:hAnsi="Times New Roman"/>
          <w:sz w:val="24"/>
          <w:szCs w:val="24"/>
        </w:rPr>
      </w:pPr>
    </w:p>
    <w:p w14:paraId="164E8529" w14:textId="77777777" w:rsidR="00EF425B" w:rsidRDefault="00EF425B" w:rsidP="00F000B0">
      <w:pPr>
        <w:spacing w:line="276" w:lineRule="auto"/>
        <w:jc w:val="both"/>
        <w:rPr>
          <w:rFonts w:ascii="Times New Roman" w:hAnsi="Times New Roman"/>
          <w:sz w:val="24"/>
          <w:szCs w:val="24"/>
        </w:rPr>
      </w:pPr>
    </w:p>
    <w:p w14:paraId="5D572F4A" w14:textId="77777777" w:rsidR="00EF425B" w:rsidRDefault="00EF425B" w:rsidP="00F000B0">
      <w:pPr>
        <w:spacing w:line="276" w:lineRule="auto"/>
        <w:jc w:val="both"/>
        <w:rPr>
          <w:rFonts w:ascii="Times New Roman" w:hAnsi="Times New Roman"/>
          <w:sz w:val="24"/>
          <w:szCs w:val="24"/>
        </w:rPr>
      </w:pPr>
    </w:p>
    <w:p w14:paraId="74BE08F7" w14:textId="77777777" w:rsidR="00EF425B" w:rsidRDefault="00EF425B" w:rsidP="00F000B0">
      <w:pPr>
        <w:spacing w:line="276" w:lineRule="auto"/>
        <w:jc w:val="both"/>
        <w:rPr>
          <w:rFonts w:ascii="Times New Roman" w:hAnsi="Times New Roman"/>
          <w:sz w:val="24"/>
          <w:szCs w:val="24"/>
        </w:rPr>
      </w:pPr>
    </w:p>
    <w:p w14:paraId="479BD584" w14:textId="77777777" w:rsidR="00F000B0" w:rsidRPr="003C29D8" w:rsidRDefault="00F000B0" w:rsidP="000738D3">
      <w:pPr>
        <w:pStyle w:val="Paragraphedeliste"/>
        <w:numPr>
          <w:ilvl w:val="0"/>
          <w:numId w:val="41"/>
        </w:numPr>
        <w:spacing w:after="160" w:line="600" w:lineRule="auto"/>
        <w:jc w:val="both"/>
        <w:rPr>
          <w:rFonts w:ascii="Times New Roman" w:hAnsi="Times New Roman" w:cs="Times New Roman"/>
          <w:color w:val="00B0F0"/>
          <w:sz w:val="24"/>
          <w:szCs w:val="24"/>
        </w:rPr>
      </w:pPr>
      <w:r w:rsidRPr="003C29D8">
        <w:rPr>
          <w:rFonts w:ascii="Times New Roman" w:hAnsi="Times New Roman" w:cs="Times New Roman"/>
          <w:color w:val="00B0F0"/>
          <w:sz w:val="24"/>
          <w:szCs w:val="24"/>
        </w:rPr>
        <w:t>Participation indirecte de l’Etat</w:t>
      </w:r>
    </w:p>
    <w:p w14:paraId="405B0D95" w14:textId="77777777" w:rsidR="00F000B0" w:rsidRPr="003C29D8" w:rsidRDefault="00F000B0" w:rsidP="00F000B0">
      <w:pPr>
        <w:pStyle w:val="Paragraphedeliste"/>
        <w:ind w:left="426"/>
        <w:jc w:val="both"/>
        <w:rPr>
          <w:rFonts w:ascii="Times New Roman" w:hAnsi="Times New Roman" w:cs="Times New Roman"/>
          <w:b/>
          <w:sz w:val="24"/>
          <w:szCs w:val="24"/>
          <w:u w:val="single"/>
        </w:rPr>
      </w:pPr>
      <w:r w:rsidRPr="003C29D8">
        <w:rPr>
          <w:rFonts w:ascii="Times New Roman" w:hAnsi="Times New Roman" w:cs="Times New Roman"/>
          <w:b/>
          <w:sz w:val="24"/>
          <w:szCs w:val="24"/>
          <w:u w:val="single"/>
        </w:rPr>
        <w:t>Secteur pétrolier</w:t>
      </w:r>
    </w:p>
    <w:p w14:paraId="0024E4CD" w14:textId="77777777" w:rsidR="00F000B0" w:rsidRPr="00AA5351" w:rsidRDefault="00F000B0" w:rsidP="00F000B0">
      <w:pPr>
        <w:ind w:left="426"/>
        <w:jc w:val="both"/>
        <w:rPr>
          <w:rFonts w:ascii="Times New Roman" w:hAnsi="Times New Roman"/>
          <w:sz w:val="24"/>
          <w:szCs w:val="24"/>
        </w:rPr>
      </w:pPr>
      <w:r w:rsidRPr="00AA5351">
        <w:rPr>
          <w:rFonts w:ascii="Times New Roman" w:hAnsi="Times New Roman"/>
          <w:sz w:val="24"/>
          <w:szCs w:val="24"/>
        </w:rPr>
        <w:t>La participation indirecte de l’Etat  tel que renseignée par le ministère du Portefeuille et la SONAHYDROC se présente comme suit :</w:t>
      </w:r>
    </w:p>
    <w:tbl>
      <w:tblPr>
        <w:tblStyle w:val="TableauGrille1Clair-Accentuation11"/>
        <w:tblW w:w="8184" w:type="dxa"/>
        <w:tblInd w:w="534" w:type="dxa"/>
        <w:tblLook w:val="04A0" w:firstRow="1" w:lastRow="0" w:firstColumn="1" w:lastColumn="0" w:noHBand="0" w:noVBand="1"/>
      </w:tblPr>
      <w:tblGrid>
        <w:gridCol w:w="1940"/>
        <w:gridCol w:w="2244"/>
        <w:gridCol w:w="1696"/>
        <w:gridCol w:w="1063"/>
        <w:gridCol w:w="1241"/>
      </w:tblGrid>
      <w:tr w:rsidR="00F000B0" w:rsidRPr="003C29D8" w14:paraId="51D178FE" w14:textId="77777777" w:rsidTr="00943F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0" w:type="dxa"/>
            <w:noWrap/>
            <w:hideMark/>
          </w:tcPr>
          <w:p w14:paraId="226A2D85" w14:textId="77777777" w:rsidR="00F000B0" w:rsidRPr="003C29D8" w:rsidRDefault="00F000B0" w:rsidP="00F000B0">
            <w:pPr>
              <w:jc w:val="both"/>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Nom de l'EPE</w:t>
            </w:r>
          </w:p>
        </w:tc>
        <w:tc>
          <w:tcPr>
            <w:tcW w:w="2244" w:type="dxa"/>
            <w:noWrap/>
            <w:hideMark/>
          </w:tcPr>
          <w:p w14:paraId="5E60FEC3"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Entreprise détenue</w:t>
            </w:r>
          </w:p>
        </w:tc>
        <w:tc>
          <w:tcPr>
            <w:tcW w:w="1696" w:type="dxa"/>
            <w:noWrap/>
          </w:tcPr>
          <w:p w14:paraId="4A1A76F3"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Bloc/concession</w:t>
            </w:r>
          </w:p>
        </w:tc>
        <w:tc>
          <w:tcPr>
            <w:tcW w:w="1063" w:type="dxa"/>
          </w:tcPr>
          <w:p w14:paraId="745228A2"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Part (en %)</w:t>
            </w:r>
          </w:p>
        </w:tc>
        <w:tc>
          <w:tcPr>
            <w:tcW w:w="1241" w:type="dxa"/>
            <w:noWrap/>
            <w:hideMark/>
          </w:tcPr>
          <w:p w14:paraId="0EEDBF52" w14:textId="77777777" w:rsidR="00F000B0" w:rsidRPr="003C29D8" w:rsidRDefault="00F000B0" w:rsidP="00F000B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sidRPr="003C29D8">
              <w:rPr>
                <w:rFonts w:ascii="Times New Roman" w:eastAsia="Times New Roman" w:hAnsi="Times New Roman"/>
                <w:color w:val="000000"/>
                <w:sz w:val="20"/>
                <w:szCs w:val="20"/>
                <w:lang w:eastAsia="fr-FR"/>
              </w:rPr>
              <w:t>Phase</w:t>
            </w:r>
          </w:p>
        </w:tc>
      </w:tr>
      <w:tr w:rsidR="00F000B0" w:rsidRPr="003C29D8" w14:paraId="3C9C5BC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val="restart"/>
            <w:noWrap/>
            <w:hideMark/>
          </w:tcPr>
          <w:p w14:paraId="6C1B77B2"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74CBD62E"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4AE49FEA"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3FD7C1EE" w14:textId="77777777" w:rsidR="00F000B0" w:rsidRPr="003C29D8" w:rsidRDefault="00F000B0" w:rsidP="00F000B0">
            <w:pPr>
              <w:jc w:val="both"/>
              <w:rPr>
                <w:rFonts w:ascii="Times New Roman" w:eastAsia="Times New Roman" w:hAnsi="Times New Roman"/>
                <w:b w:val="0"/>
                <w:color w:val="000000"/>
                <w:sz w:val="20"/>
                <w:szCs w:val="20"/>
                <w:lang w:eastAsia="fr-FR"/>
              </w:rPr>
            </w:pPr>
          </w:p>
          <w:p w14:paraId="53378CD8"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SONAHYDROC</w:t>
            </w:r>
          </w:p>
        </w:tc>
        <w:tc>
          <w:tcPr>
            <w:tcW w:w="2244" w:type="dxa"/>
            <w:noWrap/>
            <w:hideMark/>
          </w:tcPr>
          <w:p w14:paraId="15231BF4"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LIREX SARL</w:t>
            </w:r>
          </w:p>
        </w:tc>
        <w:tc>
          <w:tcPr>
            <w:tcW w:w="1696" w:type="dxa"/>
            <w:noWrap/>
          </w:tcPr>
          <w:p w14:paraId="7EF41F2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171,180 et 191</w:t>
            </w:r>
          </w:p>
        </w:tc>
        <w:tc>
          <w:tcPr>
            <w:tcW w:w="1063" w:type="dxa"/>
          </w:tcPr>
          <w:p w14:paraId="765D02BF"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15</w:t>
            </w:r>
          </w:p>
        </w:tc>
        <w:tc>
          <w:tcPr>
            <w:tcW w:w="1241" w:type="dxa"/>
            <w:noWrap/>
            <w:hideMark/>
          </w:tcPr>
          <w:p w14:paraId="693F4DE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w:t>
            </w:r>
            <w:r w:rsidRPr="003C29D8">
              <w:rPr>
                <w:rFonts w:ascii="Times New Roman" w:eastAsia="Times New Roman" w:hAnsi="Times New Roman"/>
                <w:color w:val="000000"/>
                <w:sz w:val="20"/>
                <w:szCs w:val="20"/>
                <w:lang w:eastAsia="fr-FR"/>
              </w:rPr>
              <w:t>roduction</w:t>
            </w:r>
          </w:p>
        </w:tc>
      </w:tr>
      <w:tr w:rsidR="00F000B0" w:rsidRPr="003C29D8" w14:paraId="40CF801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5579B85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39A27DCF"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SURESTEAM</w:t>
            </w:r>
          </w:p>
        </w:tc>
        <w:tc>
          <w:tcPr>
            <w:tcW w:w="1696" w:type="dxa"/>
            <w:noWrap/>
          </w:tcPr>
          <w:p w14:paraId="29C1469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Ndunda</w:t>
            </w:r>
          </w:p>
        </w:tc>
        <w:tc>
          <w:tcPr>
            <w:tcW w:w="1063" w:type="dxa"/>
          </w:tcPr>
          <w:p w14:paraId="76BEDBC2"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8</w:t>
            </w:r>
          </w:p>
        </w:tc>
        <w:tc>
          <w:tcPr>
            <w:tcW w:w="1241" w:type="dxa"/>
            <w:noWrap/>
            <w:hideMark/>
          </w:tcPr>
          <w:p w14:paraId="1301A2C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6C9E7EE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7371E89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vAlign w:val="center"/>
            <w:hideMark/>
          </w:tcPr>
          <w:p w14:paraId="73F4DAD2"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SURESTREAM</w:t>
            </w:r>
          </w:p>
        </w:tc>
        <w:tc>
          <w:tcPr>
            <w:tcW w:w="1696" w:type="dxa"/>
            <w:noWrap/>
            <w:vAlign w:val="center"/>
          </w:tcPr>
          <w:p w14:paraId="137B8EC5"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Yema/ Matamba Makanzi</w:t>
            </w:r>
          </w:p>
        </w:tc>
        <w:tc>
          <w:tcPr>
            <w:tcW w:w="1063" w:type="dxa"/>
            <w:vAlign w:val="center"/>
          </w:tcPr>
          <w:p w14:paraId="0620E560"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8</w:t>
            </w:r>
          </w:p>
        </w:tc>
        <w:tc>
          <w:tcPr>
            <w:tcW w:w="1241" w:type="dxa"/>
            <w:noWrap/>
            <w:vAlign w:val="center"/>
            <w:hideMark/>
          </w:tcPr>
          <w:p w14:paraId="370C4421"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0D26247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17783B3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7A8577C9"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ENERGULF AFRICA LIMITED</w:t>
            </w:r>
          </w:p>
        </w:tc>
        <w:tc>
          <w:tcPr>
            <w:tcW w:w="1696" w:type="dxa"/>
            <w:noWrap/>
          </w:tcPr>
          <w:p w14:paraId="6D51580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Lotshi</w:t>
            </w:r>
          </w:p>
        </w:tc>
        <w:tc>
          <w:tcPr>
            <w:tcW w:w="1063" w:type="dxa"/>
          </w:tcPr>
          <w:p w14:paraId="64ABB247"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41" w:type="dxa"/>
            <w:noWrap/>
            <w:hideMark/>
          </w:tcPr>
          <w:p w14:paraId="29E3399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r w:rsidR="00F000B0" w:rsidRPr="003C29D8" w14:paraId="72C5F32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40" w:type="dxa"/>
            <w:vMerge/>
            <w:hideMark/>
          </w:tcPr>
          <w:p w14:paraId="0B528AD5"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2244" w:type="dxa"/>
            <w:noWrap/>
            <w:hideMark/>
          </w:tcPr>
          <w:p w14:paraId="78A4C26D" w14:textId="77777777" w:rsidR="00F000B0" w:rsidRPr="003C29D8" w:rsidRDefault="00F000B0" w:rsidP="00F000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SOCO E&amp;P RDC</w:t>
            </w:r>
            <w:r>
              <w:rPr>
                <w:rStyle w:val="Appelnotedebasdep"/>
                <w:rFonts w:ascii="Times New Roman" w:eastAsia="Times New Roman" w:hAnsi="Times New Roman"/>
                <w:bCs/>
                <w:color w:val="000000"/>
                <w:sz w:val="20"/>
                <w:szCs w:val="20"/>
                <w:lang w:eastAsia="fr-FR"/>
              </w:rPr>
              <w:footnoteReference w:id="34"/>
            </w:r>
          </w:p>
        </w:tc>
        <w:tc>
          <w:tcPr>
            <w:tcW w:w="1696" w:type="dxa"/>
            <w:noWrap/>
          </w:tcPr>
          <w:p w14:paraId="63C3C083" w14:textId="52FA1A90" w:rsidR="00F000B0" w:rsidRPr="003C29D8" w:rsidRDefault="00B3254B"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Bloc 5</w:t>
            </w:r>
          </w:p>
        </w:tc>
        <w:tc>
          <w:tcPr>
            <w:tcW w:w="1063" w:type="dxa"/>
          </w:tcPr>
          <w:p w14:paraId="67BD579A" w14:textId="77777777" w:rsidR="00F000B0" w:rsidRPr="003C29D8" w:rsidRDefault="00F000B0" w:rsidP="00F000B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41" w:type="dxa"/>
            <w:noWrap/>
            <w:hideMark/>
          </w:tcPr>
          <w:p w14:paraId="65D68C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w:t>
            </w:r>
            <w:r w:rsidRPr="003C29D8">
              <w:rPr>
                <w:rFonts w:ascii="Times New Roman" w:eastAsia="Times New Roman" w:hAnsi="Times New Roman"/>
                <w:color w:val="000000"/>
                <w:sz w:val="20"/>
                <w:szCs w:val="20"/>
                <w:lang w:eastAsia="fr-FR"/>
              </w:rPr>
              <w:t>xploration</w:t>
            </w:r>
          </w:p>
        </w:tc>
      </w:tr>
    </w:tbl>
    <w:p w14:paraId="2F0D20FD" w14:textId="77777777" w:rsidR="00F000B0" w:rsidRPr="00AA5351" w:rsidRDefault="00F000B0" w:rsidP="00F000B0">
      <w:pPr>
        <w:pStyle w:val="Paragraphedeliste"/>
        <w:jc w:val="both"/>
        <w:rPr>
          <w:rFonts w:ascii="Times New Roman" w:hAnsi="Times New Roman" w:cs="Times New Roman"/>
          <w:sz w:val="24"/>
          <w:szCs w:val="24"/>
        </w:rPr>
      </w:pPr>
    </w:p>
    <w:p w14:paraId="25B7683F" w14:textId="68857707" w:rsidR="00F000B0" w:rsidRPr="00AA5351" w:rsidRDefault="00447514" w:rsidP="00943F67">
      <w:pPr>
        <w:ind w:firstLine="426"/>
        <w:jc w:val="both"/>
        <w:rPr>
          <w:rFonts w:ascii="Times New Roman" w:hAnsi="Times New Roman"/>
          <w:sz w:val="24"/>
          <w:szCs w:val="24"/>
        </w:rPr>
      </w:pPr>
      <w:r>
        <w:rPr>
          <w:rFonts w:ascii="Times New Roman" w:hAnsi="Times New Roman"/>
          <w:b/>
          <w:noProof/>
          <w:sz w:val="24"/>
          <w:szCs w:val="24"/>
          <w:lang w:eastAsia="fr-FR"/>
        </w:rPr>
        <mc:AlternateContent>
          <mc:Choice Requires="wps">
            <w:drawing>
              <wp:anchor distT="0" distB="0" distL="114300" distR="114300" simplePos="0" relativeHeight="251668480" behindDoc="0" locked="0" layoutInCell="1" allowOverlap="1" wp14:anchorId="7F972C57" wp14:editId="297483E9">
                <wp:simplePos x="0" y="0"/>
                <wp:positionH relativeFrom="column">
                  <wp:posOffset>314643</wp:posOffset>
                </wp:positionH>
                <wp:positionV relativeFrom="paragraph">
                  <wp:posOffset>6350</wp:posOffset>
                </wp:positionV>
                <wp:extent cx="5319712" cy="657225"/>
                <wp:effectExtent l="0" t="0" r="14605" b="28575"/>
                <wp:wrapNone/>
                <wp:docPr id="20" name="Zone de texte 20"/>
                <wp:cNvGraphicFramePr/>
                <a:graphic xmlns:a="http://schemas.openxmlformats.org/drawingml/2006/main">
                  <a:graphicData uri="http://schemas.microsoft.com/office/word/2010/wordprocessingShape">
                    <wps:wsp>
                      <wps:cNvSpPr txBox="1"/>
                      <wps:spPr>
                        <a:xfrm>
                          <a:off x="0" y="0"/>
                          <a:ext cx="5319712" cy="657225"/>
                        </a:xfrm>
                        <a:prstGeom prst="rect">
                          <a:avLst/>
                        </a:prstGeom>
                        <a:solidFill>
                          <a:schemeClr val="accent4">
                            <a:lumMod val="20000"/>
                            <a:lumOff val="80000"/>
                          </a:schemeClr>
                        </a:solidFill>
                        <a:ln w="6350">
                          <a:solidFill>
                            <a:schemeClr val="accent4">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7211FC0" w14:textId="77777777" w:rsidR="00553BF2" w:rsidRDefault="00553BF2">
                            <w:pPr>
                              <w:rPr>
                                <w:rFonts w:ascii="Times New Roman" w:hAnsi="Times New Roman"/>
                                <w:sz w:val="24"/>
                                <w:szCs w:val="24"/>
                              </w:rPr>
                            </w:pPr>
                            <w:r w:rsidRPr="003C29D8">
                              <w:rPr>
                                <w:rFonts w:ascii="Times New Roman" w:hAnsi="Times New Roman"/>
                                <w:b/>
                                <w:sz w:val="24"/>
                                <w:szCs w:val="24"/>
                              </w:rPr>
                              <w:t>Note</w:t>
                            </w:r>
                            <w:r>
                              <w:rPr>
                                <w:rFonts w:ascii="Times New Roman" w:hAnsi="Times New Roman"/>
                                <w:sz w:val="24"/>
                                <w:szCs w:val="24"/>
                              </w:rPr>
                              <w:t xml:space="preserve"> : </w:t>
                            </w:r>
                          </w:p>
                          <w:p w14:paraId="4E969774" w14:textId="7CCBF132" w:rsidR="00553BF2" w:rsidRPr="00447514" w:rsidRDefault="00553BF2">
                            <w:r w:rsidRPr="00447514">
                              <w:rPr>
                                <w:rFonts w:ascii="Times New Roman" w:hAnsi="Times New Roman"/>
                                <w:sz w:val="24"/>
                                <w:szCs w:val="24"/>
                              </w:rPr>
                              <w:t>Aucune modification dans la participation n’est intervenue entre 2015 et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72C57" id="Zone de texte 20" o:spid="_x0000_s1040" type="#_x0000_t202" style="position:absolute;left:0;text-align:left;margin-left:24.8pt;margin-top:.5pt;width:418.85pt;height:5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" fillcolor="#fff2cc [663]" strokecolor="#fff2cc [663]" strokeweight=".5pt">
                <v:textbox>
                  <w:txbxContent>
                    <w:p w14:paraId="67211FC0" w14:textId="77777777" w:rsidR="00553BF2" w:rsidRDefault="00553BF2">
                      <w:pPr>
                        <w:rPr>
                          <w:rFonts w:ascii="Times New Roman" w:hAnsi="Times New Roman"/>
                          <w:sz w:val="24"/>
                          <w:szCs w:val="24"/>
                        </w:rPr>
                      </w:pPr>
                      <w:r w:rsidRPr="003C29D8">
                        <w:rPr>
                          <w:rFonts w:ascii="Times New Roman" w:hAnsi="Times New Roman"/>
                          <w:b/>
                          <w:sz w:val="24"/>
                          <w:szCs w:val="24"/>
                        </w:rPr>
                        <w:t>Note</w:t>
                      </w:r>
                      <w:r>
                        <w:rPr>
                          <w:rFonts w:ascii="Times New Roman" w:hAnsi="Times New Roman"/>
                          <w:sz w:val="24"/>
                          <w:szCs w:val="24"/>
                        </w:rPr>
                        <w:t xml:space="preserve"> : </w:t>
                      </w:r>
                    </w:p>
                    <w:p w14:paraId="4E969774" w14:textId="7CCBF132" w:rsidR="00553BF2" w:rsidRPr="00447514" w:rsidRDefault="00553BF2">
                      <w:r w:rsidRPr="00447514">
                        <w:rPr>
                          <w:rFonts w:ascii="Times New Roman" w:hAnsi="Times New Roman"/>
                          <w:sz w:val="24"/>
                          <w:szCs w:val="24"/>
                        </w:rPr>
                        <w:t>Aucune modification dans la participation n’est intervenue entre 2015 et 2016.</w:t>
                      </w:r>
                    </w:p>
                  </w:txbxContent>
                </v:textbox>
              </v:shape>
            </w:pict>
          </mc:Fallback>
        </mc:AlternateContent>
      </w:r>
    </w:p>
    <w:p w14:paraId="5B9A6385" w14:textId="77777777" w:rsidR="00447514" w:rsidRDefault="00447514">
      <w:pPr>
        <w:rPr>
          <w:rFonts w:ascii="Times New Roman" w:eastAsiaTheme="minorHAnsi" w:hAnsi="Times New Roman"/>
          <w:b/>
          <w:sz w:val="24"/>
          <w:szCs w:val="24"/>
          <w:u w:val="single"/>
        </w:rPr>
      </w:pPr>
      <w:r>
        <w:rPr>
          <w:rFonts w:ascii="Times New Roman" w:hAnsi="Times New Roman"/>
          <w:b/>
          <w:sz w:val="24"/>
          <w:szCs w:val="24"/>
          <w:u w:val="single"/>
        </w:rPr>
        <w:br w:type="page"/>
      </w:r>
    </w:p>
    <w:p w14:paraId="082706AB" w14:textId="506F5EF3" w:rsidR="00F000B0" w:rsidRPr="003C29D8" w:rsidRDefault="00F000B0" w:rsidP="00F000B0">
      <w:pPr>
        <w:pStyle w:val="Paragraphedeliste"/>
        <w:ind w:left="426"/>
        <w:jc w:val="both"/>
        <w:rPr>
          <w:rFonts w:ascii="Times New Roman" w:hAnsi="Times New Roman" w:cs="Times New Roman"/>
          <w:b/>
          <w:sz w:val="24"/>
          <w:szCs w:val="24"/>
          <w:u w:val="single"/>
        </w:rPr>
      </w:pPr>
      <w:r w:rsidRPr="003C29D8">
        <w:rPr>
          <w:rFonts w:ascii="Times New Roman" w:hAnsi="Times New Roman" w:cs="Times New Roman"/>
          <w:b/>
          <w:sz w:val="24"/>
          <w:szCs w:val="24"/>
          <w:u w:val="single"/>
        </w:rPr>
        <w:lastRenderedPageBreak/>
        <w:t>Secteur minier</w:t>
      </w:r>
    </w:p>
    <w:p w14:paraId="5C377010" w14:textId="77777777" w:rsidR="00F000B0" w:rsidRPr="00AA5351" w:rsidRDefault="0028787E" w:rsidP="00F000B0">
      <w:pPr>
        <w:ind w:left="426"/>
        <w:jc w:val="both"/>
        <w:rPr>
          <w:rFonts w:ascii="Times New Roman" w:hAnsi="Times New Roman"/>
          <w:sz w:val="24"/>
          <w:szCs w:val="24"/>
        </w:rPr>
      </w:pPr>
      <w:r w:rsidRPr="00AA5351">
        <w:rPr>
          <w:rFonts w:ascii="Times New Roman" w:hAnsi="Times New Roman"/>
          <w:sz w:val="24"/>
          <w:szCs w:val="24"/>
        </w:rPr>
        <w:t>Les participations communiquées par le Ministère du Portefeuille et les EPE</w:t>
      </w:r>
      <w:r w:rsidR="00F000B0" w:rsidRPr="00AA5351">
        <w:rPr>
          <w:rFonts w:ascii="Times New Roman" w:hAnsi="Times New Roman"/>
          <w:sz w:val="24"/>
          <w:szCs w:val="24"/>
        </w:rPr>
        <w:t xml:space="preserve"> minières  sont résumées dans le tableau suivant : </w:t>
      </w:r>
    </w:p>
    <w:tbl>
      <w:tblPr>
        <w:tblStyle w:val="TableauGrille1Clair1"/>
        <w:tblW w:w="8864" w:type="dxa"/>
        <w:tblInd w:w="675" w:type="dxa"/>
        <w:tblLook w:val="04A0" w:firstRow="1" w:lastRow="0" w:firstColumn="1" w:lastColumn="0" w:noHBand="0" w:noVBand="1"/>
      </w:tblPr>
      <w:tblGrid>
        <w:gridCol w:w="1920"/>
        <w:gridCol w:w="4454"/>
        <w:gridCol w:w="1240"/>
        <w:gridCol w:w="1250"/>
      </w:tblGrid>
      <w:tr w:rsidR="00F000B0" w:rsidRPr="007D6F12" w14:paraId="4170239E" w14:textId="77777777" w:rsidTr="00943F6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920" w:type="dxa"/>
            <w:noWrap/>
            <w:vAlign w:val="center"/>
          </w:tcPr>
          <w:p w14:paraId="55D2FA84" w14:textId="77777777" w:rsidR="00F000B0" w:rsidRPr="007D6F12" w:rsidRDefault="00F000B0" w:rsidP="00943F67">
            <w:pPr>
              <w:jc w:val="center"/>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Nom de l’EPE</w:t>
            </w:r>
          </w:p>
        </w:tc>
        <w:tc>
          <w:tcPr>
            <w:tcW w:w="4454" w:type="dxa"/>
            <w:noWrap/>
            <w:vAlign w:val="center"/>
          </w:tcPr>
          <w:p w14:paraId="19E17897"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Nom de la JV</w:t>
            </w:r>
          </w:p>
        </w:tc>
        <w:tc>
          <w:tcPr>
            <w:tcW w:w="1240" w:type="dxa"/>
            <w:noWrap/>
            <w:vAlign w:val="center"/>
          </w:tcPr>
          <w:p w14:paraId="79DBFC23"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Parts détenues</w:t>
            </w:r>
          </w:p>
        </w:tc>
        <w:tc>
          <w:tcPr>
            <w:tcW w:w="1250" w:type="dxa"/>
            <w:vAlign w:val="center"/>
          </w:tcPr>
          <w:p w14:paraId="0764CF44" w14:textId="77777777" w:rsidR="00F000B0" w:rsidRPr="007D6F12" w:rsidRDefault="00F000B0" w:rsidP="00943F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fr-FR"/>
              </w:rPr>
            </w:pPr>
            <w:r w:rsidRPr="007D6F12">
              <w:rPr>
                <w:rFonts w:ascii="Times New Roman" w:eastAsia="Times New Roman" w:hAnsi="Times New Roman"/>
                <w:bCs w:val="0"/>
                <w:color w:val="000000"/>
                <w:sz w:val="20"/>
                <w:szCs w:val="20"/>
                <w:lang w:eastAsia="fr-FR"/>
              </w:rPr>
              <w:t>Phase</w:t>
            </w:r>
          </w:p>
        </w:tc>
      </w:tr>
      <w:tr w:rsidR="00F000B0" w:rsidRPr="003C29D8" w14:paraId="24BA951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06133BEB"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GECAMINES</w:t>
            </w:r>
          </w:p>
        </w:tc>
        <w:tc>
          <w:tcPr>
            <w:tcW w:w="4454" w:type="dxa"/>
            <w:noWrap/>
            <w:hideMark/>
          </w:tcPr>
          <w:p w14:paraId="2AEE5FD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BOSS MINING</w:t>
            </w:r>
          </w:p>
        </w:tc>
        <w:tc>
          <w:tcPr>
            <w:tcW w:w="1240" w:type="dxa"/>
            <w:noWrap/>
            <w:hideMark/>
          </w:tcPr>
          <w:p w14:paraId="15DFA1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3F36648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A3C0D9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4F54561"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073676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SOCIETE D'EXPLOITATION DE SHAMITUMBA</w:t>
            </w:r>
          </w:p>
        </w:tc>
        <w:tc>
          <w:tcPr>
            <w:tcW w:w="1240" w:type="dxa"/>
            <w:noWrap/>
            <w:hideMark/>
          </w:tcPr>
          <w:p w14:paraId="16532A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F9D8D2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3D4F914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CE25B8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2DF408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CMT SPRL</w:t>
            </w:r>
          </w:p>
        </w:tc>
        <w:tc>
          <w:tcPr>
            <w:tcW w:w="1240" w:type="dxa"/>
            <w:noWrap/>
            <w:hideMark/>
          </w:tcPr>
          <w:p w14:paraId="79BB9B7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D47FA0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3FAEF25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084DCC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416C0E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COMIKA SPRL</w:t>
            </w:r>
          </w:p>
        </w:tc>
        <w:tc>
          <w:tcPr>
            <w:tcW w:w="1240" w:type="dxa"/>
            <w:noWrap/>
            <w:hideMark/>
          </w:tcPr>
          <w:p w14:paraId="27F2DBA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AE21E3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3E00F42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592ACF9"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70291F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COMILU SPRL</w:t>
            </w:r>
          </w:p>
        </w:tc>
        <w:tc>
          <w:tcPr>
            <w:tcW w:w="1240" w:type="dxa"/>
            <w:noWrap/>
            <w:hideMark/>
          </w:tcPr>
          <w:p w14:paraId="18A7865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6DD9222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3BB0E8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5A2A9D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59C59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COMMUS SPRL</w:t>
            </w:r>
          </w:p>
        </w:tc>
        <w:tc>
          <w:tcPr>
            <w:tcW w:w="1240" w:type="dxa"/>
            <w:noWrap/>
            <w:hideMark/>
          </w:tcPr>
          <w:p w14:paraId="6AFE05B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2E2D87A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7D498CF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A29359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9F9FF4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GTL SPRL</w:t>
            </w:r>
          </w:p>
        </w:tc>
        <w:tc>
          <w:tcPr>
            <w:tcW w:w="1240" w:type="dxa"/>
            <w:noWrap/>
            <w:hideMark/>
          </w:tcPr>
          <w:p w14:paraId="06C338B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A626F0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03F7FD3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9B1FFD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B12E7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KCC SARL</w:t>
            </w:r>
          </w:p>
        </w:tc>
        <w:tc>
          <w:tcPr>
            <w:tcW w:w="1240" w:type="dxa"/>
            <w:noWrap/>
            <w:hideMark/>
          </w:tcPr>
          <w:p w14:paraId="0450E7D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2EDA338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1492BCB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BB9F6C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83D1B4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KICO SARL</w:t>
            </w:r>
          </w:p>
        </w:tc>
        <w:tc>
          <w:tcPr>
            <w:tcW w:w="1240" w:type="dxa"/>
            <w:noWrap/>
            <w:hideMark/>
          </w:tcPr>
          <w:p w14:paraId="2B4CCE6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3C97548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0BE6638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C5DE9F4"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9E5280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KIMIN SPRL</w:t>
            </w:r>
          </w:p>
        </w:tc>
        <w:tc>
          <w:tcPr>
            <w:tcW w:w="1240" w:type="dxa"/>
            <w:noWrap/>
            <w:hideMark/>
          </w:tcPr>
          <w:p w14:paraId="073E88F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05182F9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P</w:t>
            </w:r>
            <w:r w:rsidRPr="003C29D8">
              <w:rPr>
                <w:rFonts w:ascii="Times New Roman" w:eastAsia="Times New Roman" w:hAnsi="Times New Roman"/>
                <w:bCs/>
                <w:color w:val="000000"/>
                <w:sz w:val="20"/>
                <w:szCs w:val="20"/>
                <w:lang w:eastAsia="fr-FR"/>
              </w:rPr>
              <w:t>roduction</w:t>
            </w:r>
          </w:p>
        </w:tc>
      </w:tr>
      <w:tr w:rsidR="00F000B0" w:rsidRPr="003C29D8" w14:paraId="79F2B67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084602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169573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MKM SPRL</w:t>
            </w:r>
          </w:p>
        </w:tc>
        <w:tc>
          <w:tcPr>
            <w:tcW w:w="1240" w:type="dxa"/>
            <w:noWrap/>
            <w:hideMark/>
          </w:tcPr>
          <w:p w14:paraId="1142ADE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19,8</w:t>
            </w:r>
          </w:p>
        </w:tc>
        <w:tc>
          <w:tcPr>
            <w:tcW w:w="1250" w:type="dxa"/>
          </w:tcPr>
          <w:p w14:paraId="4616F64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3555AAA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F4EE7A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11A6F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MIKAS</w:t>
            </w:r>
          </w:p>
        </w:tc>
        <w:tc>
          <w:tcPr>
            <w:tcW w:w="1240" w:type="dxa"/>
            <w:noWrap/>
            <w:hideMark/>
          </w:tcPr>
          <w:p w14:paraId="2E32710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6026389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6372BC2"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281CD6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38B1830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RM SRL</w:t>
            </w:r>
          </w:p>
        </w:tc>
        <w:tc>
          <w:tcPr>
            <w:tcW w:w="1240" w:type="dxa"/>
            <w:noWrap/>
            <w:hideMark/>
          </w:tcPr>
          <w:p w14:paraId="0CFC1CC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25</w:t>
            </w:r>
          </w:p>
        </w:tc>
        <w:tc>
          <w:tcPr>
            <w:tcW w:w="1250" w:type="dxa"/>
          </w:tcPr>
          <w:p w14:paraId="3EE9B0F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P</w:t>
            </w:r>
            <w:r w:rsidRPr="003C29D8">
              <w:rPr>
                <w:rFonts w:ascii="Times New Roman" w:eastAsia="Times New Roman" w:hAnsi="Times New Roman"/>
                <w:bCs/>
                <w:color w:val="000000"/>
                <w:sz w:val="20"/>
                <w:szCs w:val="20"/>
                <w:lang w:eastAsia="fr-FR"/>
              </w:rPr>
              <w:t>roduction</w:t>
            </w:r>
          </w:p>
        </w:tc>
      </w:tr>
      <w:tr w:rsidR="00F000B0" w:rsidRPr="003C29D8" w14:paraId="466CE26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D96692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E4CAF1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SECAKAT SPRL</w:t>
            </w:r>
          </w:p>
        </w:tc>
        <w:tc>
          <w:tcPr>
            <w:tcW w:w="1240" w:type="dxa"/>
            <w:noWrap/>
            <w:hideMark/>
          </w:tcPr>
          <w:p w14:paraId="5EE51E5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16C95F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7123FA9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A37A78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4237CE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SICOMNES SARL</w:t>
            </w:r>
          </w:p>
        </w:tc>
        <w:tc>
          <w:tcPr>
            <w:tcW w:w="1240" w:type="dxa"/>
            <w:noWrap/>
            <w:hideMark/>
          </w:tcPr>
          <w:p w14:paraId="007C6C7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05AA97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2257ED2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C517FA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D9AC27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SIMCO SPRL</w:t>
            </w:r>
          </w:p>
        </w:tc>
        <w:tc>
          <w:tcPr>
            <w:tcW w:w="1240" w:type="dxa"/>
            <w:noWrap/>
            <w:hideMark/>
          </w:tcPr>
          <w:p w14:paraId="2523542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99</w:t>
            </w:r>
          </w:p>
        </w:tc>
        <w:tc>
          <w:tcPr>
            <w:tcW w:w="1250" w:type="dxa"/>
          </w:tcPr>
          <w:p w14:paraId="57603ED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42B480AB"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2313D8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612D19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SMCO SPRL</w:t>
            </w:r>
          </w:p>
        </w:tc>
        <w:tc>
          <w:tcPr>
            <w:tcW w:w="1240" w:type="dxa"/>
            <w:noWrap/>
            <w:hideMark/>
          </w:tcPr>
          <w:p w14:paraId="2AFE79E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27,5</w:t>
            </w:r>
          </w:p>
        </w:tc>
        <w:tc>
          <w:tcPr>
            <w:tcW w:w="1250" w:type="dxa"/>
          </w:tcPr>
          <w:p w14:paraId="7F9643D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6F2A7A72"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21B8EE9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EA537B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SMK</w:t>
            </w:r>
          </w:p>
        </w:tc>
        <w:tc>
          <w:tcPr>
            <w:tcW w:w="1240" w:type="dxa"/>
            <w:noWrap/>
            <w:hideMark/>
          </w:tcPr>
          <w:p w14:paraId="33568DA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99</w:t>
            </w:r>
          </w:p>
        </w:tc>
        <w:tc>
          <w:tcPr>
            <w:tcW w:w="1250" w:type="dxa"/>
          </w:tcPr>
          <w:p w14:paraId="1A84AE9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F</w:t>
            </w:r>
            <w:r w:rsidRPr="003C29D8">
              <w:rPr>
                <w:rFonts w:ascii="Times New Roman" w:eastAsia="Times New Roman" w:hAnsi="Times New Roman"/>
                <w:bCs/>
                <w:color w:val="000000"/>
                <w:sz w:val="20"/>
                <w:szCs w:val="20"/>
                <w:lang w:eastAsia="fr-FR"/>
              </w:rPr>
              <w:t>aisabilité</w:t>
            </w:r>
          </w:p>
        </w:tc>
      </w:tr>
      <w:tr w:rsidR="00F000B0" w:rsidRPr="003C29D8" w14:paraId="3203A9F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BA84BF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27739F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SOMIDEZ</w:t>
            </w:r>
          </w:p>
        </w:tc>
        <w:tc>
          <w:tcPr>
            <w:tcW w:w="1240" w:type="dxa"/>
            <w:noWrap/>
            <w:hideMark/>
          </w:tcPr>
          <w:p w14:paraId="02F6AC0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4C31EAA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68F3134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19B3F8B"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BE18BC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STL SPRL</w:t>
            </w:r>
          </w:p>
        </w:tc>
        <w:tc>
          <w:tcPr>
            <w:tcW w:w="1240" w:type="dxa"/>
            <w:noWrap/>
            <w:hideMark/>
          </w:tcPr>
          <w:p w14:paraId="26BCAB7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24</w:t>
            </w:r>
          </w:p>
        </w:tc>
        <w:tc>
          <w:tcPr>
            <w:tcW w:w="1250" w:type="dxa"/>
          </w:tcPr>
          <w:p w14:paraId="2F0B8B7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5F962E57"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0374E9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4CF528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SWANMINES SPRL</w:t>
            </w:r>
          </w:p>
        </w:tc>
        <w:tc>
          <w:tcPr>
            <w:tcW w:w="1240" w:type="dxa"/>
            <w:noWrap/>
            <w:hideMark/>
          </w:tcPr>
          <w:p w14:paraId="509E8E3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25</w:t>
            </w:r>
          </w:p>
        </w:tc>
        <w:tc>
          <w:tcPr>
            <w:tcW w:w="1250" w:type="dxa"/>
          </w:tcPr>
          <w:p w14:paraId="6DC2A73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754A42E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F7CAA8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CA6DE9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TFM SAR</w:t>
            </w:r>
          </w:p>
        </w:tc>
        <w:tc>
          <w:tcPr>
            <w:tcW w:w="1240" w:type="dxa"/>
            <w:noWrap/>
            <w:hideMark/>
          </w:tcPr>
          <w:p w14:paraId="78B680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C6AB91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0ED1AE2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3CF5523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A5FC7B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KAMBOVE MINING</w:t>
            </w:r>
          </w:p>
        </w:tc>
        <w:tc>
          <w:tcPr>
            <w:tcW w:w="1240" w:type="dxa"/>
            <w:noWrap/>
            <w:hideMark/>
          </w:tcPr>
          <w:p w14:paraId="377EB3F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12CAF2C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4C9A97D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D1264BC"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5AF48F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LUALABA MINING R</w:t>
            </w:r>
          </w:p>
        </w:tc>
        <w:tc>
          <w:tcPr>
            <w:tcW w:w="1240" w:type="dxa"/>
            <w:noWrap/>
            <w:hideMark/>
          </w:tcPr>
          <w:p w14:paraId="108F80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6C2E706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2412441B"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1C052D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2A3721B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SAKIMA SA</w:t>
            </w:r>
          </w:p>
        </w:tc>
        <w:tc>
          <w:tcPr>
            <w:tcW w:w="1240" w:type="dxa"/>
            <w:noWrap/>
            <w:hideMark/>
          </w:tcPr>
          <w:p w14:paraId="2014CC3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0,01</w:t>
            </w:r>
          </w:p>
        </w:tc>
        <w:tc>
          <w:tcPr>
            <w:tcW w:w="1250" w:type="dxa"/>
          </w:tcPr>
          <w:p w14:paraId="58EA001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1162472A"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BCB79CD"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80C9DF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METALKOL</w:t>
            </w:r>
          </w:p>
        </w:tc>
        <w:tc>
          <w:tcPr>
            <w:tcW w:w="1240" w:type="dxa"/>
            <w:noWrap/>
            <w:hideMark/>
          </w:tcPr>
          <w:p w14:paraId="1713F2C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7354A59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42155A0E"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0250C28B"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SODIMICO</w:t>
            </w:r>
          </w:p>
        </w:tc>
        <w:tc>
          <w:tcPr>
            <w:tcW w:w="4454" w:type="dxa"/>
            <w:noWrap/>
            <w:hideMark/>
          </w:tcPr>
          <w:p w14:paraId="6F440F6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KICC SA</w:t>
            </w:r>
          </w:p>
        </w:tc>
        <w:tc>
          <w:tcPr>
            <w:tcW w:w="1240" w:type="dxa"/>
            <w:noWrap/>
            <w:hideMark/>
          </w:tcPr>
          <w:p w14:paraId="210F07F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23</w:t>
            </w:r>
          </w:p>
        </w:tc>
        <w:tc>
          <w:tcPr>
            <w:tcW w:w="1250" w:type="dxa"/>
          </w:tcPr>
          <w:p w14:paraId="58B20FC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42E5171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82CAD7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5079B0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SODIMIKA SA</w:t>
            </w:r>
          </w:p>
        </w:tc>
        <w:tc>
          <w:tcPr>
            <w:tcW w:w="1240" w:type="dxa"/>
            <w:noWrap/>
            <w:hideMark/>
          </w:tcPr>
          <w:p w14:paraId="3FD32B7E"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30</w:t>
            </w:r>
          </w:p>
        </w:tc>
        <w:tc>
          <w:tcPr>
            <w:tcW w:w="1250" w:type="dxa"/>
          </w:tcPr>
          <w:p w14:paraId="2338536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6DBC62E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9B4E5A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BDA953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EMM SA*</w:t>
            </w:r>
          </w:p>
        </w:tc>
        <w:tc>
          <w:tcPr>
            <w:tcW w:w="1240" w:type="dxa"/>
            <w:noWrap/>
            <w:hideMark/>
          </w:tcPr>
          <w:p w14:paraId="6B9AB07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28700D5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16ED4B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F2AF66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E3BE08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SAKIMA SA</w:t>
            </w:r>
          </w:p>
        </w:tc>
        <w:tc>
          <w:tcPr>
            <w:tcW w:w="1240" w:type="dxa"/>
            <w:noWrap/>
            <w:hideMark/>
          </w:tcPr>
          <w:p w14:paraId="3A207DE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w:t>
            </w:r>
          </w:p>
        </w:tc>
        <w:tc>
          <w:tcPr>
            <w:tcW w:w="1250" w:type="dxa"/>
          </w:tcPr>
          <w:p w14:paraId="0B8B7E0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4A280DA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13E277B3"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SOKIMO</w:t>
            </w:r>
          </w:p>
        </w:tc>
        <w:tc>
          <w:tcPr>
            <w:tcW w:w="4454" w:type="dxa"/>
            <w:noWrap/>
            <w:hideMark/>
          </w:tcPr>
          <w:p w14:paraId="7216C8F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MGM</w:t>
            </w:r>
          </w:p>
        </w:tc>
        <w:tc>
          <w:tcPr>
            <w:tcW w:w="1240" w:type="dxa"/>
            <w:noWrap/>
            <w:hideMark/>
          </w:tcPr>
          <w:p w14:paraId="6F29C21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13,78</w:t>
            </w:r>
          </w:p>
        </w:tc>
        <w:tc>
          <w:tcPr>
            <w:tcW w:w="1250" w:type="dxa"/>
          </w:tcPr>
          <w:p w14:paraId="3008516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Construction</w:t>
            </w:r>
          </w:p>
        </w:tc>
      </w:tr>
      <w:tr w:rsidR="00F000B0" w:rsidRPr="003C29D8" w14:paraId="00DF4EE9"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D9F7CD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A85AD3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KIBALI GOLD MINES</w:t>
            </w:r>
          </w:p>
        </w:tc>
        <w:tc>
          <w:tcPr>
            <w:tcW w:w="1240" w:type="dxa"/>
            <w:noWrap/>
            <w:hideMark/>
          </w:tcPr>
          <w:p w14:paraId="2552A76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50" w:type="dxa"/>
          </w:tcPr>
          <w:p w14:paraId="6EEC78B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Production</w:t>
            </w:r>
          </w:p>
        </w:tc>
      </w:tr>
      <w:tr w:rsidR="00F000B0" w:rsidRPr="003C29D8" w14:paraId="5AE78983"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1E2F91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B79D26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MIZAKO</w:t>
            </w:r>
          </w:p>
        </w:tc>
        <w:tc>
          <w:tcPr>
            <w:tcW w:w="1240" w:type="dxa"/>
            <w:noWrap/>
            <w:hideMark/>
          </w:tcPr>
          <w:p w14:paraId="1B89748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34721C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35A338F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F934599"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4FE1FBB6"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WMC</w:t>
            </w:r>
          </w:p>
        </w:tc>
        <w:tc>
          <w:tcPr>
            <w:tcW w:w="1240" w:type="dxa"/>
            <w:noWrap/>
            <w:hideMark/>
          </w:tcPr>
          <w:p w14:paraId="2B825C2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4315C7E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En veilleuse</w:t>
            </w:r>
          </w:p>
        </w:tc>
      </w:tr>
      <w:tr w:rsidR="00F000B0" w:rsidRPr="003C29D8" w14:paraId="744AE4C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1CE5212"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32F68A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SMB</w:t>
            </w:r>
          </w:p>
        </w:tc>
        <w:tc>
          <w:tcPr>
            <w:tcW w:w="1240" w:type="dxa"/>
            <w:noWrap/>
            <w:hideMark/>
          </w:tcPr>
          <w:p w14:paraId="7CCEF95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35</w:t>
            </w:r>
          </w:p>
        </w:tc>
        <w:tc>
          <w:tcPr>
            <w:tcW w:w="1250" w:type="dxa"/>
          </w:tcPr>
          <w:p w14:paraId="2B40E982"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264C3C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837D49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0E2F86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GIRO GOLDFIELDS</w:t>
            </w:r>
          </w:p>
        </w:tc>
        <w:tc>
          <w:tcPr>
            <w:tcW w:w="1240" w:type="dxa"/>
            <w:noWrap/>
            <w:hideMark/>
          </w:tcPr>
          <w:p w14:paraId="6E612C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35</w:t>
            </w:r>
          </w:p>
        </w:tc>
        <w:tc>
          <w:tcPr>
            <w:tcW w:w="1250" w:type="dxa"/>
          </w:tcPr>
          <w:p w14:paraId="20E8147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29ED1BB4"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6EB6D6B8"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SCMK-Mn</w:t>
            </w:r>
          </w:p>
        </w:tc>
        <w:tc>
          <w:tcPr>
            <w:tcW w:w="4454" w:type="dxa"/>
            <w:noWrap/>
            <w:hideMark/>
          </w:tcPr>
          <w:p w14:paraId="77584A9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SIMCO SAS*</w:t>
            </w:r>
          </w:p>
        </w:tc>
        <w:tc>
          <w:tcPr>
            <w:tcW w:w="1240" w:type="dxa"/>
            <w:noWrap/>
            <w:hideMark/>
          </w:tcPr>
          <w:p w14:paraId="1132ED2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w:t>
            </w:r>
          </w:p>
        </w:tc>
        <w:tc>
          <w:tcPr>
            <w:tcW w:w="1250" w:type="dxa"/>
          </w:tcPr>
          <w:p w14:paraId="69C0F11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r w:rsidR="00F000B0" w:rsidRPr="003C29D8" w14:paraId="71D2A9C6"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84C8BE8"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B9FE9A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MDDK SARL</w:t>
            </w:r>
          </w:p>
        </w:tc>
        <w:tc>
          <w:tcPr>
            <w:tcW w:w="1240" w:type="dxa"/>
            <w:noWrap/>
            <w:hideMark/>
          </w:tcPr>
          <w:p w14:paraId="40D338C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20</w:t>
            </w:r>
          </w:p>
        </w:tc>
        <w:tc>
          <w:tcPr>
            <w:tcW w:w="1250" w:type="dxa"/>
          </w:tcPr>
          <w:p w14:paraId="0236226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Faisabilité</w:t>
            </w:r>
          </w:p>
        </w:tc>
      </w:tr>
      <w:tr w:rsidR="00F000B0" w:rsidRPr="003C29D8" w14:paraId="35627C38"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val="restart"/>
            <w:noWrap/>
            <w:hideMark/>
          </w:tcPr>
          <w:p w14:paraId="39C80166"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COMINIERE</w:t>
            </w:r>
          </w:p>
        </w:tc>
        <w:tc>
          <w:tcPr>
            <w:tcW w:w="4454" w:type="dxa"/>
            <w:noWrap/>
            <w:hideMark/>
          </w:tcPr>
          <w:p w14:paraId="48EA892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MANOMIN SPRL</w:t>
            </w:r>
          </w:p>
        </w:tc>
        <w:tc>
          <w:tcPr>
            <w:tcW w:w="1240" w:type="dxa"/>
            <w:noWrap/>
            <w:hideMark/>
          </w:tcPr>
          <w:p w14:paraId="689DB5D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0555531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E</w:t>
            </w:r>
            <w:r w:rsidRPr="003C29D8">
              <w:rPr>
                <w:rFonts w:ascii="Times New Roman" w:eastAsia="Times New Roman" w:hAnsi="Times New Roman"/>
                <w:bCs/>
                <w:color w:val="000000"/>
                <w:sz w:val="20"/>
                <w:szCs w:val="20"/>
                <w:lang w:eastAsia="fr-FR"/>
              </w:rPr>
              <w:t>xploration</w:t>
            </w:r>
          </w:p>
        </w:tc>
      </w:tr>
      <w:tr w:rsidR="00F000B0" w:rsidRPr="003C29D8" w14:paraId="240ABA60"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E442D6A"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388EF06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SEGMAL SPRL</w:t>
            </w:r>
          </w:p>
        </w:tc>
        <w:tc>
          <w:tcPr>
            <w:tcW w:w="1240" w:type="dxa"/>
            <w:noWrap/>
            <w:hideMark/>
          </w:tcPr>
          <w:p w14:paraId="5EA9A8C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2DBC18A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Pr>
                <w:rFonts w:ascii="Times New Roman" w:eastAsia="Times New Roman" w:hAnsi="Times New Roman"/>
                <w:bCs/>
                <w:color w:val="000000"/>
                <w:sz w:val="20"/>
                <w:szCs w:val="20"/>
                <w:lang w:eastAsia="fr-FR"/>
              </w:rPr>
              <w:t>C</w:t>
            </w:r>
            <w:r w:rsidRPr="003C29D8">
              <w:rPr>
                <w:rFonts w:ascii="Times New Roman" w:eastAsia="Times New Roman" w:hAnsi="Times New Roman"/>
                <w:bCs/>
                <w:color w:val="000000"/>
                <w:sz w:val="20"/>
                <w:szCs w:val="20"/>
                <w:lang w:eastAsia="fr-FR"/>
              </w:rPr>
              <w:t>onstruction</w:t>
            </w:r>
          </w:p>
        </w:tc>
      </w:tr>
      <w:tr w:rsidR="00F000B0" w:rsidRPr="003C29D8" w14:paraId="0214BF2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A9CCA71"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7C0F3B8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SOMIMI</w:t>
            </w:r>
          </w:p>
        </w:tc>
        <w:tc>
          <w:tcPr>
            <w:tcW w:w="1240" w:type="dxa"/>
            <w:noWrap/>
            <w:hideMark/>
          </w:tcPr>
          <w:p w14:paraId="6F6B61C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28</w:t>
            </w:r>
          </w:p>
        </w:tc>
        <w:tc>
          <w:tcPr>
            <w:tcW w:w="1250" w:type="dxa"/>
          </w:tcPr>
          <w:p w14:paraId="0593619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6C6FA44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70F5B2A0"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1CD2893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TANGANIKA SPRL</w:t>
            </w:r>
          </w:p>
        </w:tc>
        <w:tc>
          <w:tcPr>
            <w:tcW w:w="1240" w:type="dxa"/>
            <w:noWrap/>
            <w:hideMark/>
          </w:tcPr>
          <w:p w14:paraId="53E68201"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D1652B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26CE69D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11FDE5F4"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46B70EB"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TANTALE et NOBIUM</w:t>
            </w:r>
          </w:p>
        </w:tc>
        <w:tc>
          <w:tcPr>
            <w:tcW w:w="1240" w:type="dxa"/>
            <w:noWrap/>
            <w:hideMark/>
          </w:tcPr>
          <w:p w14:paraId="38D7D8D0"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32</w:t>
            </w:r>
          </w:p>
        </w:tc>
        <w:tc>
          <w:tcPr>
            <w:tcW w:w="1250" w:type="dxa"/>
          </w:tcPr>
          <w:p w14:paraId="4BA57D8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Exploration</w:t>
            </w:r>
          </w:p>
        </w:tc>
      </w:tr>
      <w:tr w:rsidR="00F000B0" w:rsidRPr="003C29D8" w14:paraId="358C779D"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7BEE186"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50DEC704"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DATHCOM</w:t>
            </w:r>
          </w:p>
        </w:tc>
        <w:tc>
          <w:tcPr>
            <w:tcW w:w="1240" w:type="dxa"/>
            <w:noWrap/>
            <w:hideMark/>
          </w:tcPr>
          <w:p w14:paraId="0D85CF87"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6177372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54374ADF"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8D599B3"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57655C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TALMUD</w:t>
            </w:r>
          </w:p>
        </w:tc>
        <w:tc>
          <w:tcPr>
            <w:tcW w:w="1240" w:type="dxa"/>
            <w:noWrap/>
            <w:hideMark/>
          </w:tcPr>
          <w:p w14:paraId="07C650E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5E1B3118"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1DB252C5"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68402F17"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015B7CA5"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UNITED COMINERE</w:t>
            </w:r>
          </w:p>
        </w:tc>
        <w:tc>
          <w:tcPr>
            <w:tcW w:w="1240" w:type="dxa"/>
            <w:noWrap/>
            <w:hideMark/>
          </w:tcPr>
          <w:p w14:paraId="2DC9800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c>
          <w:tcPr>
            <w:tcW w:w="1250" w:type="dxa"/>
          </w:tcPr>
          <w:p w14:paraId="2640C42A"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0E46EC81"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vMerge/>
            <w:hideMark/>
          </w:tcPr>
          <w:p w14:paraId="5D1E00AE" w14:textId="77777777" w:rsidR="00F000B0" w:rsidRPr="003C29D8" w:rsidRDefault="00F000B0" w:rsidP="00F000B0">
            <w:pPr>
              <w:jc w:val="both"/>
              <w:rPr>
                <w:rFonts w:ascii="Times New Roman" w:eastAsia="Times New Roman" w:hAnsi="Times New Roman"/>
                <w:b w:val="0"/>
                <w:color w:val="000000"/>
                <w:sz w:val="20"/>
                <w:szCs w:val="20"/>
                <w:lang w:eastAsia="fr-FR"/>
              </w:rPr>
            </w:pPr>
          </w:p>
        </w:tc>
        <w:tc>
          <w:tcPr>
            <w:tcW w:w="4454" w:type="dxa"/>
            <w:noWrap/>
            <w:hideMark/>
          </w:tcPr>
          <w:p w14:paraId="630D02BD"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MURUMBI MINERAL</w:t>
            </w:r>
          </w:p>
        </w:tc>
        <w:tc>
          <w:tcPr>
            <w:tcW w:w="1240" w:type="dxa"/>
            <w:noWrap/>
            <w:hideMark/>
          </w:tcPr>
          <w:p w14:paraId="052F07F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10</w:t>
            </w:r>
          </w:p>
        </w:tc>
        <w:tc>
          <w:tcPr>
            <w:tcW w:w="1250" w:type="dxa"/>
          </w:tcPr>
          <w:p w14:paraId="7852745C"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Non précisé</w:t>
            </w:r>
          </w:p>
        </w:tc>
      </w:tr>
      <w:tr w:rsidR="00F000B0" w:rsidRPr="003C29D8" w14:paraId="10498689" w14:textId="77777777" w:rsidTr="00943F67">
        <w:trPr>
          <w:trHeight w:val="288"/>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1EBC6BC" w14:textId="77777777" w:rsidR="00F000B0" w:rsidRPr="003C29D8" w:rsidRDefault="00F000B0" w:rsidP="00F000B0">
            <w:pPr>
              <w:jc w:val="both"/>
              <w:rPr>
                <w:rFonts w:ascii="Times New Roman" w:eastAsia="Times New Roman" w:hAnsi="Times New Roman"/>
                <w:b w:val="0"/>
                <w:color w:val="000000"/>
                <w:sz w:val="20"/>
                <w:szCs w:val="20"/>
                <w:lang w:eastAsia="fr-FR"/>
              </w:rPr>
            </w:pPr>
            <w:r w:rsidRPr="003C29D8">
              <w:rPr>
                <w:rFonts w:ascii="Times New Roman" w:eastAsia="Times New Roman" w:hAnsi="Times New Roman"/>
                <w:b w:val="0"/>
                <w:color w:val="000000"/>
                <w:sz w:val="20"/>
                <w:szCs w:val="20"/>
                <w:lang w:eastAsia="fr-FR"/>
              </w:rPr>
              <w:t>MIBA</w:t>
            </w:r>
          </w:p>
        </w:tc>
        <w:tc>
          <w:tcPr>
            <w:tcW w:w="4454" w:type="dxa"/>
            <w:noWrap/>
            <w:hideMark/>
          </w:tcPr>
          <w:p w14:paraId="5D340B23"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SMDL</w:t>
            </w:r>
          </w:p>
        </w:tc>
        <w:tc>
          <w:tcPr>
            <w:tcW w:w="1240" w:type="dxa"/>
            <w:noWrap/>
            <w:hideMark/>
          </w:tcPr>
          <w:p w14:paraId="309C2CAF"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r w:rsidRPr="003C29D8">
              <w:rPr>
                <w:rFonts w:ascii="Times New Roman" w:eastAsia="Times New Roman" w:hAnsi="Times New Roman"/>
                <w:bCs/>
                <w:color w:val="000000"/>
                <w:sz w:val="20"/>
                <w:szCs w:val="20"/>
                <w:lang w:eastAsia="fr-FR"/>
              </w:rPr>
              <w:t>49</w:t>
            </w:r>
          </w:p>
        </w:tc>
        <w:tc>
          <w:tcPr>
            <w:tcW w:w="1250" w:type="dxa"/>
          </w:tcPr>
          <w:p w14:paraId="726B0FC9" w14:textId="77777777" w:rsidR="00F000B0" w:rsidRPr="003C29D8" w:rsidRDefault="00F000B0" w:rsidP="00F000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fr-FR"/>
              </w:rPr>
            </w:pPr>
          </w:p>
        </w:tc>
      </w:tr>
    </w:tbl>
    <w:p w14:paraId="6FBAFAA0" w14:textId="225F0791" w:rsidR="00F000B0" w:rsidRPr="007D6F12" w:rsidRDefault="00F000B0" w:rsidP="00943F67">
      <w:pPr>
        <w:ind w:firstLine="708"/>
        <w:jc w:val="both"/>
        <w:rPr>
          <w:rFonts w:ascii="Times New Roman" w:hAnsi="Times New Roman"/>
          <w:sz w:val="18"/>
          <w:szCs w:val="18"/>
        </w:rPr>
      </w:pPr>
      <w:r w:rsidRPr="007D6F12">
        <w:rPr>
          <w:rFonts w:ascii="Times New Roman" w:hAnsi="Times New Roman"/>
          <w:sz w:val="18"/>
          <w:szCs w:val="18"/>
        </w:rPr>
        <w:t>Sources : Ministère du PF et les données des EPE</w:t>
      </w:r>
    </w:p>
    <w:p w14:paraId="732DC98D" w14:textId="18F48D2D" w:rsidR="00F000B0" w:rsidRPr="007D6F12" w:rsidRDefault="00F000B0" w:rsidP="00943F67">
      <w:pPr>
        <w:ind w:left="567"/>
        <w:jc w:val="both"/>
        <w:rPr>
          <w:rFonts w:ascii="Times New Roman" w:hAnsi="Times New Roman"/>
          <w:sz w:val="18"/>
          <w:szCs w:val="18"/>
        </w:rPr>
      </w:pPr>
      <w:r w:rsidRPr="00AA5351">
        <w:rPr>
          <w:rFonts w:ascii="Times New Roman" w:hAnsi="Times New Roman"/>
          <w:sz w:val="24"/>
          <w:szCs w:val="24"/>
        </w:rPr>
        <w:t>*</w:t>
      </w:r>
      <w:r>
        <w:rPr>
          <w:rFonts w:ascii="Times New Roman" w:hAnsi="Times New Roman"/>
          <w:sz w:val="24"/>
          <w:szCs w:val="24"/>
        </w:rPr>
        <w:t xml:space="preserve"> </w:t>
      </w:r>
      <w:r w:rsidRPr="007D6F12">
        <w:rPr>
          <w:rFonts w:ascii="Times New Roman" w:hAnsi="Times New Roman"/>
          <w:sz w:val="18"/>
          <w:szCs w:val="18"/>
        </w:rPr>
        <w:t xml:space="preserve">La  société EMM a indiqué  que la SODIMICO lui a retiré  les titres. La motivation de  ce retrait n’a pas  été </w:t>
      </w:r>
      <w:r w:rsidR="0028787E" w:rsidRPr="007D6F12">
        <w:rPr>
          <w:rFonts w:ascii="Times New Roman" w:hAnsi="Times New Roman"/>
          <w:sz w:val="18"/>
          <w:szCs w:val="18"/>
        </w:rPr>
        <w:t>précisée</w:t>
      </w:r>
      <w:r w:rsidRPr="007D6F12">
        <w:rPr>
          <w:rFonts w:ascii="Times New Roman" w:hAnsi="Times New Roman"/>
          <w:sz w:val="18"/>
          <w:szCs w:val="18"/>
        </w:rPr>
        <w:t xml:space="preserve"> par cette dernière.</w:t>
      </w:r>
      <w:r w:rsidR="0028787E">
        <w:rPr>
          <w:rFonts w:ascii="Times New Roman" w:hAnsi="Times New Roman"/>
          <w:sz w:val="18"/>
          <w:szCs w:val="18"/>
        </w:rPr>
        <w:t xml:space="preserve"> La SODIMICO sera approchée pour confirmer ou infirmer cette information.</w:t>
      </w:r>
    </w:p>
    <w:p w14:paraId="3B2870B0" w14:textId="78D8C798" w:rsidR="00F000B0" w:rsidRPr="00943F67" w:rsidRDefault="00EF425B" w:rsidP="00DD6B8C">
      <w:pPr>
        <w:ind w:left="567"/>
        <w:jc w:val="both"/>
        <w:rPr>
          <w:rFonts w:ascii="Times New Roman" w:hAnsi="Times New Roman"/>
          <w:sz w:val="24"/>
          <w:szCs w:val="24"/>
        </w:rPr>
      </w:pPr>
      <w:r>
        <w:rPr>
          <w:noProof/>
          <w:lang w:eastAsia="fr-FR"/>
        </w:rPr>
        <mc:AlternateContent>
          <mc:Choice Requires="wps">
            <w:drawing>
              <wp:anchor distT="0" distB="0" distL="114300" distR="114300" simplePos="0" relativeHeight="251680768" behindDoc="0" locked="0" layoutInCell="1" allowOverlap="1" wp14:anchorId="13721600" wp14:editId="1875AAEF">
                <wp:simplePos x="0" y="0"/>
                <wp:positionH relativeFrom="column">
                  <wp:posOffset>368636</wp:posOffset>
                </wp:positionH>
                <wp:positionV relativeFrom="paragraph">
                  <wp:posOffset>790575</wp:posOffset>
                </wp:positionV>
                <wp:extent cx="5781675" cy="1219200"/>
                <wp:effectExtent l="0" t="0" r="28575" b="19050"/>
                <wp:wrapNone/>
                <wp:docPr id="26" name="Zone de texte 26"/>
                <wp:cNvGraphicFramePr/>
                <a:graphic xmlns:a="http://schemas.openxmlformats.org/drawingml/2006/main">
                  <a:graphicData uri="http://schemas.microsoft.com/office/word/2010/wordprocessingShape">
                    <wps:wsp>
                      <wps:cNvSpPr txBox="1"/>
                      <wps:spPr>
                        <a:xfrm>
                          <a:off x="0" y="0"/>
                          <a:ext cx="5781675" cy="1219200"/>
                        </a:xfrm>
                        <a:prstGeom prst="rect">
                          <a:avLst/>
                        </a:prstGeom>
                        <a:solidFill>
                          <a:schemeClr val="accent1">
                            <a:lumMod val="20000"/>
                            <a:lumOff val="80000"/>
                          </a:schemeClr>
                        </a:solidFill>
                        <a:ln w="6350">
                          <a:solidFill>
                            <a:schemeClr val="accent1">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3FBC21B" w14:textId="1FEC5E1D" w:rsidR="00553BF2" w:rsidRPr="00753E9A" w:rsidRDefault="00553BF2"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44546A" w:themeColor="text2"/>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79E1BC81" w14:textId="77777777" w:rsidR="00553BF2" w:rsidRPr="00EF425B" w:rsidRDefault="00553BF2" w:rsidP="00EF425B">
                            <w:pPr>
                              <w:rPr>
                                <w:rFonts w:ascii="Times New Roman" w:hAnsi="Times New Roman"/>
                                <w:b/>
                                <w:color w:val="404040" w:themeColor="text1" w:themeTint="BF"/>
                                <w:sz w:val="24"/>
                                <w:szCs w:val="24"/>
                              </w:rPr>
                            </w:pPr>
                            <w:r w:rsidRPr="00EF425B">
                              <w:rPr>
                                <w:rFonts w:ascii="Times New Roman" w:hAnsi="Times New Roman"/>
                                <w:b/>
                                <w:color w:val="404040" w:themeColor="text1" w:themeTint="BF"/>
                                <w:sz w:val="24"/>
                                <w:szCs w:val="24"/>
                              </w:rPr>
                              <w:t>Au Comité Exécutif de :</w:t>
                            </w:r>
                          </w:p>
                          <w:p w14:paraId="64099A3F" w14:textId="77777777" w:rsidR="00553BF2" w:rsidRPr="00753E9A" w:rsidRDefault="00553BF2" w:rsidP="00EF425B">
                            <w:pPr>
                              <w:jc w:val="both"/>
                              <w:rPr>
                                <w:rFonts w:ascii="Times New Roman" w:hAnsi="Times New Roman"/>
                                <w:color w:val="404040" w:themeColor="text1" w:themeTint="BF"/>
                                <w:sz w:val="24"/>
                                <w:szCs w:val="24"/>
                              </w:rPr>
                            </w:pPr>
                            <w:r w:rsidRPr="00753E9A">
                              <w:rPr>
                                <w:rFonts w:ascii="Times New Roman" w:hAnsi="Times New Roman"/>
                                <w:color w:val="404040" w:themeColor="text1" w:themeTint="BF"/>
                                <w:sz w:val="24"/>
                                <w:szCs w:val="24"/>
                              </w:rPr>
                              <w:t>Approcher</w:t>
                            </w:r>
                            <w:r>
                              <w:rPr>
                                <w:rFonts w:ascii="Times New Roman" w:hAnsi="Times New Roman"/>
                                <w:color w:val="404040" w:themeColor="text1" w:themeTint="BF"/>
                                <w:sz w:val="24"/>
                                <w:szCs w:val="24"/>
                              </w:rPr>
                              <w:t xml:space="preserve"> le</w:t>
                            </w:r>
                            <w:r w:rsidRPr="00753E9A">
                              <w:rPr>
                                <w:rFonts w:ascii="Times New Roman" w:hAnsi="Times New Roman"/>
                                <w:color w:val="404040" w:themeColor="text1" w:themeTint="BF"/>
                                <w:sz w:val="24"/>
                                <w:szCs w:val="24"/>
                              </w:rPr>
                              <w:t xml:space="preserve"> Ministère </w:t>
                            </w:r>
                            <w:r>
                              <w:rPr>
                                <w:rFonts w:ascii="Times New Roman" w:hAnsi="Times New Roman"/>
                                <w:color w:val="404040" w:themeColor="text1" w:themeTint="BF"/>
                                <w:sz w:val="24"/>
                                <w:szCs w:val="24"/>
                              </w:rPr>
                              <w:t>du</w:t>
                            </w:r>
                            <w:r w:rsidRPr="00753E9A">
                              <w:rPr>
                                <w:rFonts w:ascii="Times New Roman" w:hAnsi="Times New Roman"/>
                                <w:color w:val="404040" w:themeColor="text1" w:themeTint="BF"/>
                                <w:sz w:val="24"/>
                                <w:szCs w:val="24"/>
                              </w:rPr>
                              <w:t xml:space="preserve"> Portefeuille et la GECAMINES pour obtenir plus de clarifications au sujet du statut exact de l’entreprise  SIMCO.</w:t>
                            </w:r>
                          </w:p>
                          <w:p w14:paraId="5F6F469D" w14:textId="77777777" w:rsidR="00553BF2" w:rsidRDefault="00553BF2" w:rsidP="00EF425B">
                            <w:pPr>
                              <w:pStyle w:val="Paragraphedeliste"/>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21600" id="Zone de texte 26" o:spid="_x0000_s1041" type="#_x0000_t202" style="position:absolute;left:0;text-align:left;margin-left:29.05pt;margin-top:62.25pt;width:455.25pt;height:9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" fillcolor="#deeaf6 [660]" strokecolor="#deeaf6 [660]" strokeweight=".5pt">
                <v:textbox>
                  <w:txbxContent>
                    <w:p w14:paraId="03FBC21B" w14:textId="1FEC5E1D" w:rsidR="00553BF2" w:rsidRPr="00753E9A" w:rsidRDefault="00553BF2" w:rsidP="00EF425B">
                      <w:pPr>
                        <w:rPr>
                          <w:rFonts w:ascii="Times New Roman" w:hAnsi="Times New Roman"/>
                          <w:b/>
                          <w:color w:val="1F3864" w:themeColor="accent5" w:themeShade="80"/>
                          <w:sz w:val="24"/>
                          <w:szCs w:val="24"/>
                          <w:u w:val="single"/>
                        </w:rPr>
                      </w:pPr>
                      <w:r>
                        <w:rPr>
                          <w:rFonts w:ascii="Times New Roman" w:hAnsi="Times New Roman"/>
                          <w:b/>
                          <w:color w:val="1F3864" w:themeColor="accent5" w:themeShade="80"/>
                          <w:sz w:val="24"/>
                          <w:szCs w:val="24"/>
                          <w:u w:val="single"/>
                        </w:rPr>
                        <w:t>Recommandation</w:t>
                      </w:r>
                      <w:r w:rsidRPr="00D256CC">
                        <w:rPr>
                          <w:rFonts w:ascii="Times New Roman" w:hAnsi="Times New Roman"/>
                          <w:b/>
                          <w:color w:val="44546A" w:themeColor="text2"/>
                          <w:sz w:val="24"/>
                          <w:szCs w:val="24"/>
                        </w:rPr>
                        <w:t xml:space="preserve"> </w:t>
                      </w:r>
                      <w:r>
                        <w:rPr>
                          <w:rFonts w:ascii="Times New Roman" w:hAnsi="Times New Roman"/>
                          <w:b/>
                          <w:color w:val="44546A" w:themeColor="text2"/>
                          <w:sz w:val="24"/>
                          <w:szCs w:val="24"/>
                        </w:rPr>
                        <w:t xml:space="preserve">: </w:t>
                      </w:r>
                      <w:r w:rsidRPr="00F32693">
                        <w:rPr>
                          <w:rFonts w:ascii="Times New Roman" w:hAnsi="Times New Roman"/>
                          <w:i/>
                          <w:color w:val="44546A" w:themeColor="text2"/>
                          <w:sz w:val="24"/>
                          <w:szCs w:val="24"/>
                        </w:rPr>
                        <w:t>(</w:t>
                      </w:r>
                      <w:r>
                        <w:rPr>
                          <w:rFonts w:ascii="Times New Roman" w:hAnsi="Times New Roman"/>
                          <w:i/>
                          <w:color w:val="44546A" w:themeColor="text2"/>
                          <w:sz w:val="24"/>
                          <w:szCs w:val="24"/>
                        </w:rPr>
                        <w:t>1</w:t>
                      </w:r>
                      <w:r w:rsidRPr="00F32693">
                        <w:rPr>
                          <w:rFonts w:ascii="Times New Roman" w:hAnsi="Times New Roman"/>
                          <w:i/>
                          <w:color w:val="44546A" w:themeColor="text2"/>
                          <w:sz w:val="24"/>
                          <w:szCs w:val="24"/>
                        </w:rPr>
                        <w:t>)</w:t>
                      </w:r>
                    </w:p>
                    <w:p w14:paraId="79E1BC81" w14:textId="77777777" w:rsidR="00553BF2" w:rsidRPr="00EF425B" w:rsidRDefault="00553BF2" w:rsidP="00EF425B">
                      <w:pPr>
                        <w:rPr>
                          <w:rFonts w:ascii="Times New Roman" w:hAnsi="Times New Roman"/>
                          <w:b/>
                          <w:color w:val="404040" w:themeColor="text1" w:themeTint="BF"/>
                          <w:sz w:val="24"/>
                          <w:szCs w:val="24"/>
                        </w:rPr>
                      </w:pPr>
                      <w:r w:rsidRPr="00EF425B">
                        <w:rPr>
                          <w:rFonts w:ascii="Times New Roman" w:hAnsi="Times New Roman"/>
                          <w:b/>
                          <w:color w:val="404040" w:themeColor="text1" w:themeTint="BF"/>
                          <w:sz w:val="24"/>
                          <w:szCs w:val="24"/>
                        </w:rPr>
                        <w:t>Au Comité Exécutif de :</w:t>
                      </w:r>
                    </w:p>
                    <w:p w14:paraId="64099A3F" w14:textId="77777777" w:rsidR="00553BF2" w:rsidRPr="00753E9A" w:rsidRDefault="00553BF2" w:rsidP="00EF425B">
                      <w:pPr>
                        <w:jc w:val="both"/>
                        <w:rPr>
                          <w:rFonts w:ascii="Times New Roman" w:hAnsi="Times New Roman"/>
                          <w:color w:val="404040" w:themeColor="text1" w:themeTint="BF"/>
                          <w:sz w:val="24"/>
                          <w:szCs w:val="24"/>
                        </w:rPr>
                      </w:pPr>
                      <w:r w:rsidRPr="00753E9A">
                        <w:rPr>
                          <w:rFonts w:ascii="Times New Roman" w:hAnsi="Times New Roman"/>
                          <w:color w:val="404040" w:themeColor="text1" w:themeTint="BF"/>
                          <w:sz w:val="24"/>
                          <w:szCs w:val="24"/>
                        </w:rPr>
                        <w:t>Approcher</w:t>
                      </w:r>
                      <w:r>
                        <w:rPr>
                          <w:rFonts w:ascii="Times New Roman" w:hAnsi="Times New Roman"/>
                          <w:color w:val="404040" w:themeColor="text1" w:themeTint="BF"/>
                          <w:sz w:val="24"/>
                          <w:szCs w:val="24"/>
                        </w:rPr>
                        <w:t xml:space="preserve"> le</w:t>
                      </w:r>
                      <w:r w:rsidRPr="00753E9A">
                        <w:rPr>
                          <w:rFonts w:ascii="Times New Roman" w:hAnsi="Times New Roman"/>
                          <w:color w:val="404040" w:themeColor="text1" w:themeTint="BF"/>
                          <w:sz w:val="24"/>
                          <w:szCs w:val="24"/>
                        </w:rPr>
                        <w:t xml:space="preserve"> Ministère </w:t>
                      </w:r>
                      <w:r>
                        <w:rPr>
                          <w:rFonts w:ascii="Times New Roman" w:hAnsi="Times New Roman"/>
                          <w:color w:val="404040" w:themeColor="text1" w:themeTint="BF"/>
                          <w:sz w:val="24"/>
                          <w:szCs w:val="24"/>
                        </w:rPr>
                        <w:t>du</w:t>
                      </w:r>
                      <w:r w:rsidRPr="00753E9A">
                        <w:rPr>
                          <w:rFonts w:ascii="Times New Roman" w:hAnsi="Times New Roman"/>
                          <w:color w:val="404040" w:themeColor="text1" w:themeTint="BF"/>
                          <w:sz w:val="24"/>
                          <w:szCs w:val="24"/>
                        </w:rPr>
                        <w:t xml:space="preserve"> Portefeuille et la GECAMINES pour obtenir plus de clarifications au sujet du statut exact de l’entreprise  SIMCO.</w:t>
                      </w:r>
                    </w:p>
                    <w:p w14:paraId="5F6F469D" w14:textId="77777777" w:rsidR="00553BF2" w:rsidRDefault="00553BF2" w:rsidP="00EF425B">
                      <w:pPr>
                        <w:pStyle w:val="Paragraphedeliste"/>
                        <w:ind w:left="284"/>
                      </w:pPr>
                    </w:p>
                  </w:txbxContent>
                </v:textbox>
              </v:shape>
            </w:pict>
          </mc:Fallback>
        </mc:AlternateContent>
      </w:r>
      <w:r w:rsidR="00F000B0" w:rsidRPr="007D6F12">
        <w:rPr>
          <w:rFonts w:ascii="Times New Roman" w:hAnsi="Times New Roman"/>
          <w:sz w:val="18"/>
          <w:szCs w:val="18"/>
        </w:rPr>
        <w:t>* SIMCO est une entreprise immobilière  détenue par la GECAMINES (99%) et la SCMK-Mn (1%). Elle détient des participations dans KCC et dans SICOMINES.  C’est sur cette base qu’elle participe aux déclarations ITIE.</w:t>
      </w:r>
      <w:r w:rsidR="000E4FC8">
        <w:rPr>
          <w:rFonts w:ascii="Times New Roman" w:hAnsi="Times New Roman"/>
          <w:sz w:val="18"/>
          <w:szCs w:val="18"/>
        </w:rPr>
        <w:t xml:space="preserve"> Cependant, s</w:t>
      </w:r>
      <w:r w:rsidR="00F000B0" w:rsidRPr="007D6F12">
        <w:rPr>
          <w:rFonts w:ascii="Times New Roman" w:hAnsi="Times New Roman"/>
          <w:sz w:val="18"/>
          <w:szCs w:val="18"/>
        </w:rPr>
        <w:t>es participations  n’ont</w:t>
      </w:r>
      <w:r w:rsidR="00DD6B8C">
        <w:rPr>
          <w:rFonts w:ascii="Times New Roman" w:hAnsi="Times New Roman"/>
          <w:sz w:val="18"/>
          <w:szCs w:val="18"/>
        </w:rPr>
        <w:t xml:space="preserve"> pas été renseignées en 2016. </w:t>
      </w:r>
      <w:r w:rsidR="00F000B0" w:rsidRPr="00DD6B8C">
        <w:rPr>
          <w:rFonts w:ascii="Times New Roman" w:hAnsi="Times New Roman"/>
          <w:sz w:val="18"/>
          <w:szCs w:val="18"/>
        </w:rPr>
        <w:t>En effet, le Procès-verbal  reçu du Ministère du Portefeuille sanctionnant les travaux de mise à jour des participations effectués par le Conseil  Supérieur du Portefeuille et les experts de la  SCMK-Mn,  indique que   la GECAMINES  a repris la gestion immobilière confiée à SIMCO</w:t>
      </w:r>
      <w:r w:rsidR="003F1E24" w:rsidRPr="00DD6B8C">
        <w:rPr>
          <w:rFonts w:ascii="Times New Roman" w:hAnsi="Times New Roman"/>
          <w:sz w:val="18"/>
          <w:szCs w:val="18"/>
        </w:rPr>
        <w:t>,</w:t>
      </w:r>
      <w:r w:rsidR="00F000B0" w:rsidRPr="00DD6B8C">
        <w:rPr>
          <w:rFonts w:ascii="Times New Roman" w:hAnsi="Times New Roman"/>
          <w:sz w:val="18"/>
          <w:szCs w:val="18"/>
        </w:rPr>
        <w:t xml:space="preserve"> à l’exception</w:t>
      </w:r>
      <w:r w:rsidR="003F1E24" w:rsidRPr="00DD6B8C">
        <w:rPr>
          <w:rFonts w:ascii="Times New Roman" w:hAnsi="Times New Roman"/>
          <w:sz w:val="18"/>
          <w:szCs w:val="18"/>
        </w:rPr>
        <w:t xml:space="preserve"> des participations.</w:t>
      </w:r>
    </w:p>
    <w:p w14:paraId="6FAE222C" w14:textId="2FF4280C" w:rsidR="00943F67" w:rsidRDefault="00943F67" w:rsidP="001E22F7">
      <w:pPr>
        <w:jc w:val="both"/>
        <w:rPr>
          <w:rFonts w:ascii="Times New Roman" w:hAnsi="Times New Roman"/>
          <w:color w:val="385623" w:themeColor="accent6" w:themeShade="80"/>
          <w:sz w:val="24"/>
          <w:szCs w:val="24"/>
        </w:rPr>
      </w:pPr>
    </w:p>
    <w:p w14:paraId="49E422CC" w14:textId="77777777" w:rsidR="00EF425B" w:rsidRDefault="00EF425B" w:rsidP="001E22F7">
      <w:pPr>
        <w:jc w:val="both"/>
        <w:rPr>
          <w:rFonts w:ascii="Times New Roman" w:hAnsi="Times New Roman"/>
          <w:color w:val="385623" w:themeColor="accent6" w:themeShade="80"/>
          <w:sz w:val="24"/>
          <w:szCs w:val="24"/>
        </w:rPr>
      </w:pPr>
    </w:p>
    <w:p w14:paraId="6F5D67A6" w14:textId="77777777" w:rsidR="00EF425B" w:rsidRDefault="00EF425B" w:rsidP="001E22F7">
      <w:pPr>
        <w:jc w:val="both"/>
        <w:rPr>
          <w:rFonts w:ascii="Times New Roman" w:hAnsi="Times New Roman"/>
          <w:color w:val="385623" w:themeColor="accent6" w:themeShade="80"/>
          <w:sz w:val="24"/>
          <w:szCs w:val="24"/>
        </w:rPr>
      </w:pPr>
    </w:p>
    <w:p w14:paraId="6D5E39AC" w14:textId="77777777" w:rsidR="00EF425B" w:rsidRDefault="00EF425B" w:rsidP="001E22F7">
      <w:pPr>
        <w:jc w:val="both"/>
        <w:rPr>
          <w:rFonts w:ascii="Times New Roman" w:hAnsi="Times New Roman"/>
          <w:color w:val="385623" w:themeColor="accent6" w:themeShade="80"/>
          <w:sz w:val="24"/>
          <w:szCs w:val="24"/>
        </w:rPr>
      </w:pPr>
    </w:p>
    <w:p w14:paraId="52D76AC1" w14:textId="77777777" w:rsidR="00EF425B" w:rsidRPr="00EF425B" w:rsidRDefault="00EF425B" w:rsidP="001E22F7">
      <w:pPr>
        <w:jc w:val="both"/>
        <w:rPr>
          <w:rFonts w:ascii="Times New Roman" w:hAnsi="Times New Roman"/>
          <w:color w:val="385623" w:themeColor="accent6" w:themeShade="80"/>
          <w:sz w:val="24"/>
          <w:szCs w:val="24"/>
        </w:rPr>
      </w:pPr>
    </w:p>
    <w:p w14:paraId="0661D3EB" w14:textId="41ABF473" w:rsidR="00F000B0" w:rsidRPr="00C47879" w:rsidRDefault="00553B37" w:rsidP="000738D3">
      <w:pPr>
        <w:pStyle w:val="Titre2"/>
        <w:numPr>
          <w:ilvl w:val="0"/>
          <w:numId w:val="54"/>
        </w:numPr>
        <w:ind w:left="284"/>
        <w:jc w:val="center"/>
        <w:rPr>
          <w:rFonts w:ascii="Times New Roman" w:hAnsi="Times New Roman" w:cs="Times New Roman"/>
          <w:color w:val="3B3838" w:themeColor="background2" w:themeShade="40"/>
          <w:sz w:val="28"/>
          <w:szCs w:val="28"/>
        </w:rPr>
      </w:pPr>
      <w:bookmarkStart w:id="188" w:name="_Toc518468108"/>
      <w:r w:rsidRPr="00C47879">
        <w:rPr>
          <w:rFonts w:ascii="Times New Roman" w:hAnsi="Times New Roman" w:cs="Times New Roman"/>
          <w:caps w:val="0"/>
          <w:color w:val="3B3838" w:themeColor="background2" w:themeShade="40"/>
          <w:sz w:val="28"/>
          <w:szCs w:val="28"/>
        </w:rPr>
        <w:t xml:space="preserve">Considérations particulières sur </w:t>
      </w:r>
      <w:r>
        <w:rPr>
          <w:rFonts w:ascii="Times New Roman" w:hAnsi="Times New Roman" w:cs="Times New Roman"/>
          <w:caps w:val="0"/>
          <w:color w:val="3B3838" w:themeColor="background2" w:themeShade="40"/>
          <w:sz w:val="28"/>
          <w:szCs w:val="28"/>
        </w:rPr>
        <w:t>l</w:t>
      </w:r>
      <w:r w:rsidRPr="00C47879">
        <w:rPr>
          <w:rFonts w:ascii="Times New Roman" w:hAnsi="Times New Roman" w:cs="Times New Roman"/>
          <w:caps w:val="0"/>
          <w:color w:val="3B3838" w:themeColor="background2" w:themeShade="40"/>
          <w:sz w:val="28"/>
          <w:szCs w:val="28"/>
        </w:rPr>
        <w:t>es EPE.</w:t>
      </w:r>
      <w:bookmarkEnd w:id="188"/>
    </w:p>
    <w:p w14:paraId="433CE89B" w14:textId="2F74E086" w:rsidR="00F000B0" w:rsidRPr="00DA26B6"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r w:rsidRPr="00C47879">
        <w:rPr>
          <w:rFonts w:ascii="Times New Roman" w:hAnsi="Times New Roman" w:cs="Times New Roman"/>
          <w:b/>
          <w:color w:val="2F5496" w:themeColor="accent5" w:themeShade="BF"/>
          <w:sz w:val="24"/>
          <w:szCs w:val="24"/>
        </w:rPr>
        <w:t xml:space="preserve"> </w:t>
      </w:r>
      <w:bookmarkStart w:id="189" w:name="_Toc518468109"/>
      <w:r w:rsidR="00F000B0" w:rsidRPr="00DA26B6">
        <w:rPr>
          <w:rFonts w:ascii="Times New Roman" w:hAnsi="Times New Roman" w:cs="Times New Roman"/>
          <w:color w:val="2F5496" w:themeColor="accent5" w:themeShade="BF"/>
          <w:sz w:val="24"/>
          <w:szCs w:val="24"/>
        </w:rPr>
        <w:t>Fiche signalétique des EPE</w:t>
      </w:r>
      <w:bookmarkEnd w:id="189"/>
    </w:p>
    <w:p w14:paraId="12B44EAA" w14:textId="1F04CF6D" w:rsidR="00F000B0" w:rsidRPr="00AA5351" w:rsidRDefault="00F000B0" w:rsidP="00C47879">
      <w:pPr>
        <w:ind w:left="644"/>
        <w:jc w:val="both"/>
        <w:rPr>
          <w:rFonts w:ascii="Times New Roman" w:hAnsi="Times New Roman"/>
          <w:sz w:val="24"/>
          <w:szCs w:val="24"/>
        </w:rPr>
      </w:pPr>
      <w:r w:rsidRPr="00C47879">
        <w:rPr>
          <w:rFonts w:ascii="Times New Roman" w:hAnsi="Times New Roman"/>
          <w:sz w:val="24"/>
          <w:szCs w:val="24"/>
        </w:rPr>
        <w:t>Voir tableau en annexe</w:t>
      </w:r>
      <w:r w:rsidR="00C47879">
        <w:rPr>
          <w:rFonts w:ascii="Times New Roman" w:hAnsi="Times New Roman"/>
          <w:sz w:val="24"/>
          <w:szCs w:val="24"/>
        </w:rPr>
        <w:t>.</w:t>
      </w:r>
    </w:p>
    <w:p w14:paraId="22508064" w14:textId="20400BE6" w:rsidR="00F000B0" w:rsidRPr="00DD6B8C"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r>
        <w:rPr>
          <w:b/>
          <w:color w:val="2F5496" w:themeColor="accent5" w:themeShade="BF"/>
          <w:sz w:val="24"/>
          <w:szCs w:val="24"/>
        </w:rPr>
        <w:t xml:space="preserve"> </w:t>
      </w:r>
      <w:bookmarkStart w:id="190" w:name="_Toc518468110"/>
      <w:r w:rsidR="00F000B0" w:rsidRPr="00DD6B8C">
        <w:rPr>
          <w:rFonts w:ascii="Times New Roman" w:hAnsi="Times New Roman" w:cs="Times New Roman"/>
          <w:color w:val="2F5496" w:themeColor="accent5" w:themeShade="BF"/>
          <w:sz w:val="24"/>
          <w:szCs w:val="24"/>
        </w:rPr>
        <w:t>Règles et pratiques de la relation financière entre les EPE, l’Etat  et les JV</w:t>
      </w:r>
      <w:bookmarkEnd w:id="190"/>
      <w:r w:rsidR="00F000B0" w:rsidRPr="00DD6B8C">
        <w:rPr>
          <w:rFonts w:ascii="Times New Roman" w:hAnsi="Times New Roman" w:cs="Times New Roman"/>
          <w:color w:val="2F5496" w:themeColor="accent5" w:themeShade="BF"/>
          <w:sz w:val="24"/>
          <w:szCs w:val="24"/>
        </w:rPr>
        <w:t xml:space="preserve"> </w:t>
      </w:r>
    </w:p>
    <w:p w14:paraId="055A53D9" w14:textId="77777777" w:rsidR="00F000B0" w:rsidRPr="00AA5351" w:rsidRDefault="003F1E24" w:rsidP="00C47879">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2775CC4E" w14:textId="767DB917" w:rsidR="00F000B0" w:rsidRPr="00DD6B8C" w:rsidRDefault="00C47879"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1" w:name="_Toc518468111"/>
      <w:r w:rsidRPr="00DD6B8C">
        <w:rPr>
          <w:rFonts w:ascii="Times New Roman" w:hAnsi="Times New Roman" w:cs="Times New Roman"/>
          <w:color w:val="2F5496" w:themeColor="accent5" w:themeShade="BF"/>
          <w:sz w:val="24"/>
          <w:szCs w:val="24"/>
        </w:rPr>
        <w:t>T</w:t>
      </w:r>
      <w:r w:rsidR="00F000B0" w:rsidRPr="00DD6B8C">
        <w:rPr>
          <w:rFonts w:ascii="Times New Roman" w:hAnsi="Times New Roman" w:cs="Times New Roman"/>
          <w:color w:val="2F5496" w:themeColor="accent5" w:themeShade="BF"/>
          <w:sz w:val="24"/>
          <w:szCs w:val="24"/>
        </w:rPr>
        <w:t>ransactions des EPE</w:t>
      </w:r>
      <w:bookmarkEnd w:id="191"/>
    </w:p>
    <w:p w14:paraId="161E47D5" w14:textId="77777777" w:rsidR="008E309D" w:rsidRPr="00AA5351" w:rsidRDefault="00F000B0" w:rsidP="008E309D">
      <w:pPr>
        <w:pStyle w:val="Paragraphedeliste"/>
        <w:ind w:left="644"/>
        <w:jc w:val="both"/>
        <w:rPr>
          <w:rFonts w:ascii="Times New Roman" w:hAnsi="Times New Roman" w:cs="Times New Roman"/>
          <w:sz w:val="24"/>
          <w:szCs w:val="24"/>
        </w:rPr>
      </w:pPr>
      <w:r w:rsidRPr="008E309D">
        <w:rPr>
          <w:rFonts w:ascii="Times New Roman" w:hAnsi="Times New Roman" w:cs="Times New Roman"/>
          <w:sz w:val="24"/>
          <w:szCs w:val="24"/>
        </w:rPr>
        <w:t xml:space="preserve">Cette partie sera complétée par </w:t>
      </w:r>
      <w:r w:rsidR="008E309D" w:rsidRPr="008E309D">
        <w:rPr>
          <w:rFonts w:ascii="Times New Roman" w:hAnsi="Times New Roman" w:cs="Times New Roman"/>
          <w:sz w:val="24"/>
          <w:szCs w:val="24"/>
        </w:rPr>
        <w:t>le</w:t>
      </w:r>
      <w:r w:rsidR="008E309D">
        <w:rPr>
          <w:rFonts w:ascii="Times New Roman" w:hAnsi="Times New Roman" w:cs="Times New Roman"/>
          <w:sz w:val="24"/>
          <w:szCs w:val="24"/>
        </w:rPr>
        <w:t xml:space="preserve"> rapport de revue des états financiers des EPE en cours d’élaboration.</w:t>
      </w:r>
    </w:p>
    <w:p w14:paraId="22B66E81" w14:textId="4BBA1737" w:rsidR="008E309D" w:rsidRDefault="008E309D">
      <w:pPr>
        <w:rPr>
          <w:rFonts w:ascii="Times New Roman" w:eastAsiaTheme="minorHAnsi" w:hAnsi="Times New Roman"/>
          <w:sz w:val="24"/>
          <w:szCs w:val="24"/>
        </w:rPr>
      </w:pPr>
      <w:r>
        <w:rPr>
          <w:rFonts w:ascii="Times New Roman" w:hAnsi="Times New Roman"/>
          <w:sz w:val="24"/>
          <w:szCs w:val="24"/>
        </w:rPr>
        <w:br w:type="page"/>
      </w:r>
    </w:p>
    <w:p w14:paraId="1FB6662D" w14:textId="77777777" w:rsidR="008E309D" w:rsidRDefault="008E309D" w:rsidP="008E309D">
      <w:pPr>
        <w:pStyle w:val="Paragraphedeliste"/>
        <w:ind w:left="644"/>
        <w:jc w:val="both"/>
        <w:rPr>
          <w:rFonts w:ascii="Times New Roman" w:hAnsi="Times New Roman" w:cs="Times New Roman"/>
          <w:sz w:val="24"/>
          <w:szCs w:val="24"/>
        </w:rPr>
        <w:sectPr w:rsidR="008E309D" w:rsidSect="00EB516D">
          <w:headerReference w:type="default" r:id="rId55"/>
          <w:footerReference w:type="default" r:id="rId56"/>
          <w:pgSz w:w="11906" w:h="16838"/>
          <w:pgMar w:top="1417" w:right="849" w:bottom="1417" w:left="1417" w:header="708" w:footer="708" w:gutter="0"/>
          <w:pgNumType w:start="0"/>
          <w:cols w:space="708"/>
          <w:titlePg/>
          <w:docGrid w:linePitch="360"/>
        </w:sectPr>
      </w:pPr>
    </w:p>
    <w:p w14:paraId="3D197657" w14:textId="62B39DB7" w:rsidR="008E309D" w:rsidRDefault="008E309D" w:rsidP="008E309D">
      <w:pPr>
        <w:pStyle w:val="Paragraphedeliste"/>
        <w:ind w:left="644"/>
        <w:jc w:val="both"/>
        <w:rPr>
          <w:rFonts w:ascii="Times New Roman" w:hAnsi="Times New Roman" w:cs="Times New Roman"/>
          <w:sz w:val="24"/>
          <w:szCs w:val="24"/>
        </w:rPr>
      </w:pPr>
    </w:p>
    <w:p w14:paraId="6D2BA01B" w14:textId="03029BC3" w:rsidR="00F000B0" w:rsidRPr="00AA5351" w:rsidRDefault="00F000B0" w:rsidP="00F000B0">
      <w:pPr>
        <w:pStyle w:val="Paragraphedeliste"/>
        <w:rPr>
          <w:rFonts w:ascii="Times New Roman" w:hAnsi="Times New Roman" w:cs="Times New Roman"/>
          <w:sz w:val="24"/>
          <w:szCs w:val="24"/>
        </w:rPr>
      </w:pPr>
    </w:p>
    <w:tbl>
      <w:tblPr>
        <w:tblW w:w="16018" w:type="dxa"/>
        <w:tblInd w:w="-709" w:type="dxa"/>
        <w:tblLayout w:type="fixed"/>
        <w:tblCellMar>
          <w:left w:w="70" w:type="dxa"/>
          <w:right w:w="70" w:type="dxa"/>
        </w:tblCellMar>
        <w:tblLook w:val="04A0" w:firstRow="1" w:lastRow="0" w:firstColumn="1" w:lastColumn="0" w:noHBand="0" w:noVBand="1"/>
      </w:tblPr>
      <w:tblGrid>
        <w:gridCol w:w="1560"/>
        <w:gridCol w:w="1276"/>
        <w:gridCol w:w="1134"/>
        <w:gridCol w:w="1134"/>
        <w:gridCol w:w="992"/>
        <w:gridCol w:w="1134"/>
        <w:gridCol w:w="1134"/>
        <w:gridCol w:w="1134"/>
        <w:gridCol w:w="1134"/>
        <w:gridCol w:w="992"/>
        <w:gridCol w:w="1134"/>
        <w:gridCol w:w="992"/>
        <w:gridCol w:w="993"/>
        <w:gridCol w:w="1275"/>
      </w:tblGrid>
      <w:tr w:rsidR="00F000B0" w:rsidRPr="00AA5351" w14:paraId="015916B2" w14:textId="77777777" w:rsidTr="00F000B0">
        <w:trPr>
          <w:trHeight w:val="288"/>
        </w:trPr>
        <w:tc>
          <w:tcPr>
            <w:tcW w:w="1560" w:type="dxa"/>
            <w:tcBorders>
              <w:top w:val="nil"/>
              <w:left w:val="nil"/>
              <w:bottom w:val="nil"/>
              <w:right w:val="nil"/>
            </w:tcBorders>
            <w:shd w:val="clear" w:color="auto" w:fill="auto"/>
            <w:noWrap/>
            <w:vAlign w:val="bottom"/>
            <w:hideMark/>
          </w:tcPr>
          <w:p w14:paraId="3DAA1F80"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7938" w:type="dxa"/>
            <w:gridSpan w:val="7"/>
            <w:tcBorders>
              <w:top w:val="nil"/>
              <w:left w:val="nil"/>
              <w:bottom w:val="nil"/>
              <w:right w:val="nil"/>
            </w:tcBorders>
            <w:shd w:val="clear" w:color="auto" w:fill="auto"/>
            <w:noWrap/>
            <w:vAlign w:val="bottom"/>
            <w:hideMark/>
          </w:tcPr>
          <w:p w14:paraId="4287365C" w14:textId="31DDF2EA"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r w:rsidRPr="00AA5351">
              <w:rPr>
                <w:rFonts w:ascii="Times New Roman" w:eastAsia="Times New Roman" w:hAnsi="Times New Roman"/>
                <w:b/>
                <w:bCs/>
                <w:color w:val="000000"/>
                <w:sz w:val="24"/>
                <w:szCs w:val="24"/>
                <w:lang w:eastAsia="fr-FR"/>
              </w:rPr>
              <w:t>TYPES DE FLUX PERÇUS PAR LES EP</w:t>
            </w:r>
            <w:r w:rsidR="00DD6B8C">
              <w:rPr>
                <w:rFonts w:ascii="Times New Roman" w:eastAsia="Times New Roman" w:hAnsi="Times New Roman"/>
                <w:b/>
                <w:bCs/>
                <w:color w:val="000000"/>
                <w:sz w:val="24"/>
                <w:szCs w:val="24"/>
                <w:lang w:eastAsia="fr-FR"/>
              </w:rPr>
              <w:t>E</w:t>
            </w:r>
            <w:r w:rsidRPr="00AA5351">
              <w:rPr>
                <w:rFonts w:ascii="Times New Roman" w:eastAsia="Times New Roman" w:hAnsi="Times New Roman"/>
                <w:b/>
                <w:bCs/>
                <w:color w:val="000000"/>
                <w:sz w:val="24"/>
                <w:szCs w:val="24"/>
                <w:lang w:eastAsia="fr-FR"/>
              </w:rPr>
              <w:t xml:space="preserve"> EN 2016(en $USD)</w:t>
            </w:r>
          </w:p>
          <w:p w14:paraId="583D3E7D" w14:textId="77777777"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p>
        </w:tc>
        <w:tc>
          <w:tcPr>
            <w:tcW w:w="1134" w:type="dxa"/>
            <w:tcBorders>
              <w:top w:val="nil"/>
              <w:left w:val="nil"/>
              <w:bottom w:val="nil"/>
              <w:right w:val="nil"/>
            </w:tcBorders>
            <w:shd w:val="clear" w:color="auto" w:fill="auto"/>
            <w:noWrap/>
            <w:vAlign w:val="bottom"/>
            <w:hideMark/>
          </w:tcPr>
          <w:p w14:paraId="40931DCC" w14:textId="77777777" w:rsidR="00F000B0" w:rsidRPr="00AA5351" w:rsidRDefault="00F000B0" w:rsidP="00F000B0">
            <w:pPr>
              <w:spacing w:after="0" w:line="240" w:lineRule="auto"/>
              <w:jc w:val="center"/>
              <w:rPr>
                <w:rFonts w:ascii="Times New Roman" w:eastAsia="Times New Roman" w:hAnsi="Times New Roman"/>
                <w:b/>
                <w:bCs/>
                <w:color w:val="000000"/>
                <w:sz w:val="24"/>
                <w:szCs w:val="24"/>
                <w:lang w:eastAsia="fr-FR"/>
              </w:rPr>
            </w:pPr>
          </w:p>
        </w:tc>
        <w:tc>
          <w:tcPr>
            <w:tcW w:w="992" w:type="dxa"/>
            <w:tcBorders>
              <w:top w:val="nil"/>
              <w:left w:val="nil"/>
              <w:bottom w:val="nil"/>
              <w:right w:val="nil"/>
            </w:tcBorders>
            <w:shd w:val="clear" w:color="auto" w:fill="auto"/>
            <w:noWrap/>
            <w:vAlign w:val="bottom"/>
            <w:hideMark/>
          </w:tcPr>
          <w:p w14:paraId="66EAF386"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1134" w:type="dxa"/>
            <w:tcBorders>
              <w:top w:val="nil"/>
              <w:left w:val="nil"/>
              <w:bottom w:val="nil"/>
              <w:right w:val="nil"/>
            </w:tcBorders>
            <w:shd w:val="clear" w:color="auto" w:fill="auto"/>
            <w:noWrap/>
            <w:vAlign w:val="bottom"/>
            <w:hideMark/>
          </w:tcPr>
          <w:p w14:paraId="5E8D4268"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992" w:type="dxa"/>
            <w:tcBorders>
              <w:top w:val="nil"/>
              <w:left w:val="nil"/>
              <w:bottom w:val="nil"/>
              <w:right w:val="nil"/>
            </w:tcBorders>
            <w:shd w:val="clear" w:color="auto" w:fill="auto"/>
            <w:noWrap/>
            <w:vAlign w:val="bottom"/>
            <w:hideMark/>
          </w:tcPr>
          <w:p w14:paraId="6C396ABE"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993" w:type="dxa"/>
            <w:tcBorders>
              <w:top w:val="nil"/>
              <w:left w:val="nil"/>
              <w:bottom w:val="nil"/>
              <w:right w:val="nil"/>
            </w:tcBorders>
            <w:shd w:val="clear" w:color="auto" w:fill="auto"/>
            <w:noWrap/>
            <w:vAlign w:val="bottom"/>
            <w:hideMark/>
          </w:tcPr>
          <w:p w14:paraId="71C0E87E" w14:textId="77777777" w:rsidR="00F000B0" w:rsidRPr="00AA5351" w:rsidRDefault="00F000B0" w:rsidP="00F000B0">
            <w:pPr>
              <w:spacing w:after="0" w:line="240" w:lineRule="auto"/>
              <w:rPr>
                <w:rFonts w:ascii="Times New Roman" w:eastAsia="Times New Roman" w:hAnsi="Times New Roman"/>
                <w:sz w:val="24"/>
                <w:szCs w:val="24"/>
                <w:lang w:eastAsia="fr-FR"/>
              </w:rPr>
            </w:pPr>
          </w:p>
        </w:tc>
        <w:tc>
          <w:tcPr>
            <w:tcW w:w="1275" w:type="dxa"/>
            <w:tcBorders>
              <w:top w:val="nil"/>
              <w:left w:val="nil"/>
              <w:bottom w:val="nil"/>
              <w:right w:val="nil"/>
            </w:tcBorders>
            <w:shd w:val="clear" w:color="auto" w:fill="auto"/>
            <w:noWrap/>
            <w:vAlign w:val="bottom"/>
            <w:hideMark/>
          </w:tcPr>
          <w:p w14:paraId="10A41227" w14:textId="77777777" w:rsidR="00F000B0" w:rsidRPr="00AA5351" w:rsidRDefault="00F000B0" w:rsidP="00F000B0">
            <w:pPr>
              <w:spacing w:after="0" w:line="240" w:lineRule="auto"/>
              <w:rPr>
                <w:rFonts w:ascii="Times New Roman" w:eastAsia="Times New Roman" w:hAnsi="Times New Roman"/>
                <w:sz w:val="24"/>
                <w:szCs w:val="24"/>
                <w:lang w:eastAsia="fr-FR"/>
              </w:rPr>
            </w:pPr>
          </w:p>
        </w:tc>
      </w:tr>
      <w:tr w:rsidR="00F000B0" w:rsidRPr="00CE60CF" w14:paraId="7025108A" w14:textId="77777777" w:rsidTr="00F000B0">
        <w:trPr>
          <w:trHeight w:val="2040"/>
        </w:trPr>
        <w:tc>
          <w:tcPr>
            <w:tcW w:w="156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1C86ACD"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Nom de l'EPE</w:t>
            </w:r>
          </w:p>
        </w:tc>
        <w:tc>
          <w:tcPr>
            <w:tcW w:w="1276"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10B626E6"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Cession d'actifs</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36FEFE2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Frais de Consultance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F67F0C8"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Loyer amodiation</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018D1CB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paiement contractuel</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1D93A69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Pas de porte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446BEB31"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Prestation service</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7B2A9C7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Royalties</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2CC070EC"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dividendes</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DB8C780"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frais de formation</w:t>
            </w:r>
          </w:p>
        </w:tc>
        <w:tc>
          <w:tcPr>
            <w:tcW w:w="1134"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64CA7B6C"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Vente scories</w:t>
            </w:r>
          </w:p>
        </w:tc>
        <w:tc>
          <w:tcPr>
            <w:tcW w:w="992"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46EDDD3D"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Bonus de découverte</w:t>
            </w:r>
          </w:p>
        </w:tc>
        <w:tc>
          <w:tcPr>
            <w:tcW w:w="993" w:type="dxa"/>
            <w:tcBorders>
              <w:top w:val="single" w:sz="4" w:space="0" w:color="auto"/>
              <w:left w:val="nil"/>
              <w:bottom w:val="single" w:sz="4" w:space="0" w:color="auto"/>
              <w:right w:val="single" w:sz="4" w:space="0" w:color="auto"/>
            </w:tcBorders>
            <w:shd w:val="clear" w:color="auto" w:fill="FFF2CC" w:themeFill="accent4" w:themeFillTint="33"/>
            <w:noWrap/>
            <w:textDirection w:val="btLr"/>
            <w:vAlign w:val="bottom"/>
            <w:hideMark/>
          </w:tcPr>
          <w:p w14:paraId="2E4D426E"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Indemnité forfaitaire</w:t>
            </w:r>
          </w:p>
        </w:tc>
        <w:tc>
          <w:tcPr>
            <w:tcW w:w="127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4FA448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Total</w:t>
            </w:r>
          </w:p>
        </w:tc>
      </w:tr>
      <w:tr w:rsidR="00F000B0" w:rsidRPr="00CE60CF" w14:paraId="422D2B5A"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8F8823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GECAMINES</w:t>
            </w:r>
          </w:p>
        </w:tc>
        <w:tc>
          <w:tcPr>
            <w:tcW w:w="1276" w:type="dxa"/>
            <w:tcBorders>
              <w:top w:val="nil"/>
              <w:left w:val="nil"/>
              <w:bottom w:val="single" w:sz="4" w:space="0" w:color="auto"/>
              <w:right w:val="single" w:sz="4" w:space="0" w:color="auto"/>
            </w:tcBorders>
            <w:shd w:val="clear" w:color="auto" w:fill="auto"/>
            <w:noWrap/>
            <w:vAlign w:val="bottom"/>
            <w:hideMark/>
          </w:tcPr>
          <w:p w14:paraId="50A8F443"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110 000 000</w:t>
            </w:r>
          </w:p>
        </w:tc>
        <w:tc>
          <w:tcPr>
            <w:tcW w:w="1134" w:type="dxa"/>
            <w:tcBorders>
              <w:top w:val="nil"/>
              <w:left w:val="nil"/>
              <w:bottom w:val="single" w:sz="4" w:space="0" w:color="auto"/>
              <w:right w:val="single" w:sz="4" w:space="0" w:color="auto"/>
            </w:tcBorders>
            <w:shd w:val="clear" w:color="auto" w:fill="auto"/>
            <w:noWrap/>
            <w:vAlign w:val="bottom"/>
            <w:hideMark/>
          </w:tcPr>
          <w:p w14:paraId="7CAF9E94"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14 260 282</w:t>
            </w:r>
          </w:p>
        </w:tc>
        <w:tc>
          <w:tcPr>
            <w:tcW w:w="1134" w:type="dxa"/>
            <w:tcBorders>
              <w:top w:val="nil"/>
              <w:left w:val="nil"/>
              <w:bottom w:val="single" w:sz="4" w:space="0" w:color="auto"/>
              <w:right w:val="single" w:sz="4" w:space="0" w:color="auto"/>
            </w:tcBorders>
            <w:shd w:val="clear" w:color="auto" w:fill="auto"/>
            <w:noWrap/>
            <w:vAlign w:val="bottom"/>
            <w:hideMark/>
          </w:tcPr>
          <w:p w14:paraId="786397B6"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16 433 913</w:t>
            </w:r>
          </w:p>
        </w:tc>
        <w:tc>
          <w:tcPr>
            <w:tcW w:w="992" w:type="dxa"/>
            <w:tcBorders>
              <w:top w:val="nil"/>
              <w:left w:val="nil"/>
              <w:bottom w:val="single" w:sz="4" w:space="0" w:color="auto"/>
              <w:right w:val="single" w:sz="4" w:space="0" w:color="auto"/>
            </w:tcBorders>
            <w:shd w:val="clear" w:color="auto" w:fill="auto"/>
            <w:noWrap/>
            <w:vAlign w:val="bottom"/>
            <w:hideMark/>
          </w:tcPr>
          <w:p w14:paraId="1FC01C60"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793 820</w:t>
            </w:r>
          </w:p>
        </w:tc>
        <w:tc>
          <w:tcPr>
            <w:tcW w:w="1134" w:type="dxa"/>
            <w:tcBorders>
              <w:top w:val="nil"/>
              <w:left w:val="nil"/>
              <w:bottom w:val="single" w:sz="4" w:space="0" w:color="auto"/>
              <w:right w:val="single" w:sz="4" w:space="0" w:color="auto"/>
            </w:tcBorders>
            <w:shd w:val="clear" w:color="auto" w:fill="auto"/>
            <w:noWrap/>
            <w:vAlign w:val="bottom"/>
            <w:hideMark/>
          </w:tcPr>
          <w:p w14:paraId="280D6113"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19 297 680</w:t>
            </w:r>
          </w:p>
        </w:tc>
        <w:tc>
          <w:tcPr>
            <w:tcW w:w="1134" w:type="dxa"/>
            <w:tcBorders>
              <w:top w:val="nil"/>
              <w:left w:val="nil"/>
              <w:bottom w:val="single" w:sz="4" w:space="0" w:color="auto"/>
              <w:right w:val="single" w:sz="4" w:space="0" w:color="auto"/>
            </w:tcBorders>
            <w:shd w:val="clear" w:color="auto" w:fill="auto"/>
            <w:noWrap/>
            <w:vAlign w:val="bottom"/>
            <w:hideMark/>
          </w:tcPr>
          <w:p w14:paraId="2451D358"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2 047 239</w:t>
            </w:r>
          </w:p>
        </w:tc>
        <w:tc>
          <w:tcPr>
            <w:tcW w:w="1134" w:type="dxa"/>
            <w:tcBorders>
              <w:top w:val="nil"/>
              <w:left w:val="nil"/>
              <w:bottom w:val="single" w:sz="4" w:space="0" w:color="auto"/>
              <w:right w:val="single" w:sz="4" w:space="0" w:color="auto"/>
            </w:tcBorders>
            <w:shd w:val="clear" w:color="auto" w:fill="auto"/>
            <w:noWrap/>
            <w:vAlign w:val="bottom"/>
            <w:hideMark/>
          </w:tcPr>
          <w:p w14:paraId="7225AEB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12 493 448</w:t>
            </w:r>
          </w:p>
        </w:tc>
        <w:tc>
          <w:tcPr>
            <w:tcW w:w="1134" w:type="dxa"/>
            <w:tcBorders>
              <w:top w:val="nil"/>
              <w:left w:val="nil"/>
              <w:bottom w:val="single" w:sz="4" w:space="0" w:color="auto"/>
              <w:right w:val="single" w:sz="4" w:space="0" w:color="auto"/>
            </w:tcBorders>
            <w:shd w:val="clear" w:color="auto" w:fill="auto"/>
            <w:noWrap/>
            <w:vAlign w:val="bottom"/>
            <w:hideMark/>
          </w:tcPr>
          <w:p w14:paraId="2AAC4A7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EB29D9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5561B6"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89 322 253</w:t>
            </w:r>
          </w:p>
        </w:tc>
        <w:tc>
          <w:tcPr>
            <w:tcW w:w="992" w:type="dxa"/>
            <w:tcBorders>
              <w:top w:val="nil"/>
              <w:left w:val="nil"/>
              <w:bottom w:val="single" w:sz="4" w:space="0" w:color="auto"/>
              <w:right w:val="single" w:sz="4" w:space="0" w:color="auto"/>
            </w:tcBorders>
            <w:shd w:val="clear" w:color="auto" w:fill="auto"/>
            <w:noWrap/>
            <w:vAlign w:val="bottom"/>
            <w:hideMark/>
          </w:tcPr>
          <w:p w14:paraId="0792362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0F33F7A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7B126DF"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264 648 635</w:t>
            </w:r>
          </w:p>
        </w:tc>
      </w:tr>
      <w:tr w:rsidR="00F000B0" w:rsidRPr="00CE60CF" w14:paraId="3D7379FA"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9E4FC94"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SODIMICO</w:t>
            </w:r>
          </w:p>
        </w:tc>
        <w:tc>
          <w:tcPr>
            <w:tcW w:w="1276" w:type="dxa"/>
            <w:tcBorders>
              <w:top w:val="nil"/>
              <w:left w:val="nil"/>
              <w:bottom w:val="single" w:sz="4" w:space="0" w:color="auto"/>
              <w:right w:val="single" w:sz="4" w:space="0" w:color="auto"/>
            </w:tcBorders>
            <w:shd w:val="clear" w:color="auto" w:fill="auto"/>
            <w:noWrap/>
            <w:vAlign w:val="bottom"/>
            <w:hideMark/>
          </w:tcPr>
          <w:p w14:paraId="40BA8E4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F15C2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69825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223 570</w:t>
            </w:r>
          </w:p>
        </w:tc>
        <w:tc>
          <w:tcPr>
            <w:tcW w:w="992" w:type="dxa"/>
            <w:tcBorders>
              <w:top w:val="nil"/>
              <w:left w:val="nil"/>
              <w:bottom w:val="single" w:sz="4" w:space="0" w:color="auto"/>
              <w:right w:val="single" w:sz="4" w:space="0" w:color="auto"/>
            </w:tcBorders>
            <w:shd w:val="clear" w:color="auto" w:fill="auto"/>
            <w:noWrap/>
            <w:vAlign w:val="bottom"/>
            <w:hideMark/>
          </w:tcPr>
          <w:p w14:paraId="5FB9F73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4E721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7CC10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05814F"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1 309 373</w:t>
            </w:r>
          </w:p>
        </w:tc>
        <w:tc>
          <w:tcPr>
            <w:tcW w:w="1134" w:type="dxa"/>
            <w:tcBorders>
              <w:top w:val="nil"/>
              <w:left w:val="nil"/>
              <w:bottom w:val="single" w:sz="4" w:space="0" w:color="auto"/>
              <w:right w:val="single" w:sz="4" w:space="0" w:color="auto"/>
            </w:tcBorders>
            <w:shd w:val="clear" w:color="auto" w:fill="auto"/>
            <w:noWrap/>
            <w:vAlign w:val="bottom"/>
            <w:hideMark/>
          </w:tcPr>
          <w:p w14:paraId="0F3E78C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AAC7CA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35FC8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1025072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778F593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15ED08C"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1 532 943</w:t>
            </w:r>
          </w:p>
        </w:tc>
      </w:tr>
      <w:tr w:rsidR="00F000B0" w:rsidRPr="00CE60CF" w14:paraId="1B4B3C59"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21B53F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SOKIMO</w:t>
            </w:r>
          </w:p>
        </w:tc>
        <w:tc>
          <w:tcPr>
            <w:tcW w:w="1276" w:type="dxa"/>
            <w:tcBorders>
              <w:top w:val="nil"/>
              <w:left w:val="nil"/>
              <w:bottom w:val="single" w:sz="4" w:space="0" w:color="auto"/>
              <w:right w:val="single" w:sz="4" w:space="0" w:color="auto"/>
            </w:tcBorders>
            <w:shd w:val="clear" w:color="auto" w:fill="auto"/>
            <w:noWrap/>
            <w:vAlign w:val="bottom"/>
            <w:hideMark/>
          </w:tcPr>
          <w:p w14:paraId="3D713D5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4C04A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5C76A1"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2 800 880</w:t>
            </w:r>
          </w:p>
        </w:tc>
        <w:tc>
          <w:tcPr>
            <w:tcW w:w="992" w:type="dxa"/>
            <w:tcBorders>
              <w:top w:val="nil"/>
              <w:left w:val="nil"/>
              <w:bottom w:val="single" w:sz="4" w:space="0" w:color="auto"/>
              <w:right w:val="single" w:sz="4" w:space="0" w:color="auto"/>
            </w:tcBorders>
            <w:shd w:val="clear" w:color="auto" w:fill="auto"/>
            <w:noWrap/>
            <w:vAlign w:val="bottom"/>
            <w:hideMark/>
          </w:tcPr>
          <w:p w14:paraId="353FDC2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ED799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5E83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DE0F9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089F1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5CC3E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99B05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7E0E4B5F"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500 000</w:t>
            </w:r>
          </w:p>
        </w:tc>
        <w:tc>
          <w:tcPr>
            <w:tcW w:w="993" w:type="dxa"/>
            <w:tcBorders>
              <w:top w:val="nil"/>
              <w:left w:val="nil"/>
              <w:bottom w:val="single" w:sz="4" w:space="0" w:color="auto"/>
              <w:right w:val="single" w:sz="4" w:space="0" w:color="auto"/>
            </w:tcBorders>
            <w:shd w:val="clear" w:color="auto" w:fill="auto"/>
            <w:noWrap/>
            <w:vAlign w:val="bottom"/>
            <w:hideMark/>
          </w:tcPr>
          <w:p w14:paraId="056E78F2"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334 313</w:t>
            </w:r>
          </w:p>
        </w:tc>
        <w:tc>
          <w:tcPr>
            <w:tcW w:w="1275" w:type="dxa"/>
            <w:tcBorders>
              <w:top w:val="nil"/>
              <w:left w:val="nil"/>
              <w:bottom w:val="single" w:sz="4" w:space="0" w:color="auto"/>
              <w:right w:val="single" w:sz="4" w:space="0" w:color="auto"/>
            </w:tcBorders>
            <w:shd w:val="clear" w:color="auto" w:fill="auto"/>
            <w:noWrap/>
            <w:vAlign w:val="bottom"/>
            <w:hideMark/>
          </w:tcPr>
          <w:p w14:paraId="7A229216"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3 635 193</w:t>
            </w:r>
          </w:p>
        </w:tc>
      </w:tr>
      <w:tr w:rsidR="00F000B0" w:rsidRPr="00CE60CF" w14:paraId="34D6F48D"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056DA9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COMINIERE</w:t>
            </w:r>
          </w:p>
        </w:tc>
        <w:tc>
          <w:tcPr>
            <w:tcW w:w="1276" w:type="dxa"/>
            <w:tcBorders>
              <w:top w:val="nil"/>
              <w:left w:val="nil"/>
              <w:bottom w:val="single" w:sz="4" w:space="0" w:color="auto"/>
              <w:right w:val="single" w:sz="4" w:space="0" w:color="auto"/>
            </w:tcBorders>
            <w:shd w:val="clear" w:color="auto" w:fill="auto"/>
            <w:noWrap/>
            <w:vAlign w:val="bottom"/>
            <w:hideMark/>
          </w:tcPr>
          <w:p w14:paraId="0F0D2F9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E7B86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9A2D9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8D4FD4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06A3A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C1235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75D37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3E56AC"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708FC1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F59A0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A21E59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11729C4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E29E11"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226FEEC8"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570A129"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MIBA</w:t>
            </w:r>
          </w:p>
        </w:tc>
        <w:tc>
          <w:tcPr>
            <w:tcW w:w="1276" w:type="dxa"/>
            <w:tcBorders>
              <w:top w:val="nil"/>
              <w:left w:val="nil"/>
              <w:bottom w:val="single" w:sz="4" w:space="0" w:color="auto"/>
              <w:right w:val="single" w:sz="4" w:space="0" w:color="auto"/>
            </w:tcBorders>
            <w:shd w:val="clear" w:color="auto" w:fill="auto"/>
            <w:noWrap/>
            <w:vAlign w:val="bottom"/>
            <w:hideMark/>
          </w:tcPr>
          <w:p w14:paraId="3CE376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53D55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2D9C98"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215 000</w:t>
            </w:r>
          </w:p>
        </w:tc>
        <w:tc>
          <w:tcPr>
            <w:tcW w:w="992" w:type="dxa"/>
            <w:tcBorders>
              <w:top w:val="nil"/>
              <w:left w:val="nil"/>
              <w:bottom w:val="single" w:sz="4" w:space="0" w:color="auto"/>
              <w:right w:val="single" w:sz="4" w:space="0" w:color="auto"/>
            </w:tcBorders>
            <w:shd w:val="clear" w:color="auto" w:fill="auto"/>
            <w:noWrap/>
            <w:vAlign w:val="bottom"/>
            <w:hideMark/>
          </w:tcPr>
          <w:p w14:paraId="34DD291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7E483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A4952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FA1391"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18 235</w:t>
            </w:r>
          </w:p>
        </w:tc>
        <w:tc>
          <w:tcPr>
            <w:tcW w:w="1134" w:type="dxa"/>
            <w:tcBorders>
              <w:top w:val="nil"/>
              <w:left w:val="nil"/>
              <w:bottom w:val="single" w:sz="4" w:space="0" w:color="auto"/>
              <w:right w:val="single" w:sz="4" w:space="0" w:color="auto"/>
            </w:tcBorders>
            <w:shd w:val="clear" w:color="auto" w:fill="auto"/>
            <w:noWrap/>
            <w:vAlign w:val="bottom"/>
            <w:hideMark/>
          </w:tcPr>
          <w:p w14:paraId="76CD6FD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247DCC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EE74B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C00A54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2FD1D7A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4C1936"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233 235</w:t>
            </w:r>
          </w:p>
        </w:tc>
      </w:tr>
      <w:tr w:rsidR="00F000B0" w:rsidRPr="00CE60CF" w14:paraId="19D2CE0B"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B28310B"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SAKIMA</w:t>
            </w:r>
          </w:p>
        </w:tc>
        <w:tc>
          <w:tcPr>
            <w:tcW w:w="1276" w:type="dxa"/>
            <w:tcBorders>
              <w:top w:val="nil"/>
              <w:left w:val="nil"/>
              <w:bottom w:val="single" w:sz="4" w:space="0" w:color="auto"/>
              <w:right w:val="single" w:sz="4" w:space="0" w:color="auto"/>
            </w:tcBorders>
            <w:shd w:val="clear" w:color="auto" w:fill="auto"/>
            <w:noWrap/>
            <w:vAlign w:val="bottom"/>
            <w:hideMark/>
          </w:tcPr>
          <w:p w14:paraId="0FEE4A4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A4C3D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F8CE9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E1B44E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2E88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455C4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F2E3E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1D8D9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7CD220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9F80D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91DD20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68102DCA"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4FB97BE5"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3FD502AC"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7374B45"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SACIM</w:t>
            </w:r>
          </w:p>
        </w:tc>
        <w:tc>
          <w:tcPr>
            <w:tcW w:w="1276" w:type="dxa"/>
            <w:tcBorders>
              <w:top w:val="nil"/>
              <w:left w:val="nil"/>
              <w:bottom w:val="single" w:sz="4" w:space="0" w:color="auto"/>
              <w:right w:val="single" w:sz="4" w:space="0" w:color="auto"/>
            </w:tcBorders>
            <w:shd w:val="clear" w:color="auto" w:fill="auto"/>
            <w:noWrap/>
            <w:vAlign w:val="bottom"/>
            <w:hideMark/>
          </w:tcPr>
          <w:p w14:paraId="2F4F76A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879D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AAEC3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1733DD62"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C0BA77"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BE341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E1D79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5185E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53013DD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AD6B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4FAEDF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49874FE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123054"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6A8B1536"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D4597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SCMK-Mn</w:t>
            </w:r>
          </w:p>
        </w:tc>
        <w:tc>
          <w:tcPr>
            <w:tcW w:w="1276" w:type="dxa"/>
            <w:tcBorders>
              <w:top w:val="nil"/>
              <w:left w:val="nil"/>
              <w:bottom w:val="single" w:sz="4" w:space="0" w:color="auto"/>
              <w:right w:val="single" w:sz="4" w:space="0" w:color="auto"/>
            </w:tcBorders>
            <w:shd w:val="clear" w:color="auto" w:fill="auto"/>
            <w:noWrap/>
            <w:vAlign w:val="bottom"/>
            <w:hideMark/>
          </w:tcPr>
          <w:p w14:paraId="127A5540"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25323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0564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6A00307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5087B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74806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6EDD56"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2E17F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B5B2665"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DCB03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4761A27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07A2CA09"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0B2D7917"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 </w:t>
            </w:r>
          </w:p>
        </w:tc>
      </w:tr>
      <w:tr w:rsidR="00F000B0" w:rsidRPr="00CE60CF" w14:paraId="1FFD7587"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4B998BF" w14:textId="77777777" w:rsidR="00F000B0" w:rsidRPr="00CE60CF" w:rsidRDefault="00F000B0" w:rsidP="00F000B0">
            <w:pPr>
              <w:spacing w:after="0" w:line="240" w:lineRule="auto"/>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SONAHYDROC</w:t>
            </w:r>
          </w:p>
        </w:tc>
        <w:tc>
          <w:tcPr>
            <w:tcW w:w="1276" w:type="dxa"/>
            <w:tcBorders>
              <w:top w:val="nil"/>
              <w:left w:val="nil"/>
              <w:bottom w:val="single" w:sz="4" w:space="0" w:color="auto"/>
              <w:right w:val="single" w:sz="4" w:space="0" w:color="auto"/>
            </w:tcBorders>
            <w:shd w:val="clear" w:color="auto" w:fill="auto"/>
            <w:noWrap/>
            <w:vAlign w:val="bottom"/>
            <w:hideMark/>
          </w:tcPr>
          <w:p w14:paraId="0F25D95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A0EAAB4"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B790A8"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203571FF"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630BDE"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CB2163"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CC8F5B"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A47F54"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1 542 376</w:t>
            </w:r>
          </w:p>
        </w:tc>
        <w:tc>
          <w:tcPr>
            <w:tcW w:w="992" w:type="dxa"/>
            <w:tcBorders>
              <w:top w:val="nil"/>
              <w:left w:val="nil"/>
              <w:bottom w:val="single" w:sz="4" w:space="0" w:color="auto"/>
              <w:right w:val="single" w:sz="4" w:space="0" w:color="auto"/>
            </w:tcBorders>
            <w:shd w:val="clear" w:color="auto" w:fill="auto"/>
            <w:noWrap/>
            <w:vAlign w:val="bottom"/>
            <w:hideMark/>
          </w:tcPr>
          <w:p w14:paraId="65B5C195" w14:textId="77777777" w:rsidR="00F000B0" w:rsidRPr="00CE60CF" w:rsidRDefault="00F000B0" w:rsidP="00F000B0">
            <w:pPr>
              <w:spacing w:after="0" w:line="240" w:lineRule="auto"/>
              <w:jc w:val="right"/>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148 101</w:t>
            </w:r>
          </w:p>
        </w:tc>
        <w:tc>
          <w:tcPr>
            <w:tcW w:w="1134" w:type="dxa"/>
            <w:tcBorders>
              <w:top w:val="nil"/>
              <w:left w:val="nil"/>
              <w:bottom w:val="single" w:sz="4" w:space="0" w:color="auto"/>
              <w:right w:val="single" w:sz="4" w:space="0" w:color="auto"/>
            </w:tcBorders>
            <w:shd w:val="clear" w:color="auto" w:fill="auto"/>
            <w:noWrap/>
            <w:vAlign w:val="bottom"/>
            <w:hideMark/>
          </w:tcPr>
          <w:p w14:paraId="08D06BF1"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14:paraId="3EC9A4DD"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58C6817C" w14:textId="77777777" w:rsidR="00F000B0" w:rsidRPr="00CE60CF" w:rsidRDefault="00F000B0" w:rsidP="00F000B0">
            <w:pPr>
              <w:spacing w:after="0" w:line="240" w:lineRule="auto"/>
              <w:rPr>
                <w:rFonts w:ascii="Times New Roman" w:eastAsia="Times New Roman" w:hAnsi="Times New Roman"/>
                <w:color w:val="000000"/>
                <w:sz w:val="20"/>
                <w:szCs w:val="20"/>
                <w:lang w:eastAsia="fr-FR"/>
              </w:rPr>
            </w:pPr>
            <w:r w:rsidRPr="00CE60CF">
              <w:rPr>
                <w:rFonts w:ascii="Times New Roman" w:eastAsia="Times New Roman" w:hAnsi="Times New Roman"/>
                <w:color w:val="000000"/>
                <w:sz w:val="20"/>
                <w:szCs w:val="20"/>
                <w:lang w:eastAsia="fr-FR"/>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624BA9" w14:textId="77777777" w:rsidR="00F000B0" w:rsidRPr="00CE60CF" w:rsidRDefault="00F000B0" w:rsidP="00F000B0">
            <w:pPr>
              <w:spacing w:after="0" w:line="240" w:lineRule="auto"/>
              <w:jc w:val="right"/>
              <w:rPr>
                <w:rFonts w:ascii="Times New Roman" w:eastAsia="Times New Roman" w:hAnsi="Times New Roman"/>
                <w:b/>
                <w:bCs/>
                <w:color w:val="000000"/>
                <w:sz w:val="20"/>
                <w:szCs w:val="20"/>
                <w:lang w:eastAsia="fr-FR"/>
              </w:rPr>
            </w:pPr>
            <w:r w:rsidRPr="00CE60CF">
              <w:rPr>
                <w:rFonts w:ascii="Times New Roman" w:eastAsia="Times New Roman" w:hAnsi="Times New Roman"/>
                <w:b/>
                <w:bCs/>
                <w:color w:val="000000"/>
                <w:sz w:val="20"/>
                <w:szCs w:val="20"/>
                <w:lang w:eastAsia="fr-FR"/>
              </w:rPr>
              <w:t>1 690 477</w:t>
            </w:r>
          </w:p>
        </w:tc>
      </w:tr>
      <w:tr w:rsidR="00F000B0" w:rsidRPr="00CE60CF" w14:paraId="12735F20" w14:textId="77777777" w:rsidTr="00F000B0">
        <w:trPr>
          <w:trHeight w:val="288"/>
        </w:trPr>
        <w:tc>
          <w:tcPr>
            <w:tcW w:w="1560"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59927B6E" w14:textId="77777777" w:rsidR="00F000B0" w:rsidRPr="00CE60CF" w:rsidRDefault="00F000B0" w:rsidP="00F000B0">
            <w:pPr>
              <w:spacing w:after="0" w:line="240" w:lineRule="auto"/>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TOTAL</w:t>
            </w:r>
          </w:p>
        </w:tc>
        <w:tc>
          <w:tcPr>
            <w:tcW w:w="1276" w:type="dxa"/>
            <w:tcBorders>
              <w:top w:val="nil"/>
              <w:left w:val="nil"/>
              <w:bottom w:val="single" w:sz="4" w:space="0" w:color="auto"/>
              <w:right w:val="single" w:sz="4" w:space="0" w:color="auto"/>
            </w:tcBorders>
            <w:shd w:val="clear" w:color="auto" w:fill="FFE599" w:themeFill="accent4" w:themeFillTint="66"/>
            <w:noWrap/>
            <w:vAlign w:val="bottom"/>
            <w:hideMark/>
          </w:tcPr>
          <w:p w14:paraId="63961E6C"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110 000 000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111A11EB"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14 260 282</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302E2170"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19 673 363</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74C5A0F2"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793 820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5CBC6D42"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19 297 680</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3B854DE"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2 047 239</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119CA4F7"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13 821 056</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17142D1"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1 542 376</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311D1069"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148 101</w:t>
            </w:r>
          </w:p>
        </w:tc>
        <w:tc>
          <w:tcPr>
            <w:tcW w:w="1134" w:type="dxa"/>
            <w:tcBorders>
              <w:top w:val="nil"/>
              <w:left w:val="nil"/>
              <w:bottom w:val="single" w:sz="4" w:space="0" w:color="auto"/>
              <w:right w:val="single" w:sz="4" w:space="0" w:color="auto"/>
            </w:tcBorders>
            <w:shd w:val="clear" w:color="auto" w:fill="FFE599" w:themeFill="accent4" w:themeFillTint="66"/>
            <w:noWrap/>
            <w:vAlign w:val="bottom"/>
            <w:hideMark/>
          </w:tcPr>
          <w:p w14:paraId="430B66BC"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89 322 253</w:t>
            </w:r>
          </w:p>
        </w:tc>
        <w:tc>
          <w:tcPr>
            <w:tcW w:w="992" w:type="dxa"/>
            <w:tcBorders>
              <w:top w:val="nil"/>
              <w:left w:val="nil"/>
              <w:bottom w:val="single" w:sz="4" w:space="0" w:color="auto"/>
              <w:right w:val="single" w:sz="4" w:space="0" w:color="auto"/>
            </w:tcBorders>
            <w:shd w:val="clear" w:color="auto" w:fill="FFE599" w:themeFill="accent4" w:themeFillTint="66"/>
            <w:noWrap/>
            <w:vAlign w:val="bottom"/>
            <w:hideMark/>
          </w:tcPr>
          <w:p w14:paraId="277104ED"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500 000</w:t>
            </w:r>
          </w:p>
        </w:tc>
        <w:tc>
          <w:tcPr>
            <w:tcW w:w="993" w:type="dxa"/>
            <w:tcBorders>
              <w:top w:val="nil"/>
              <w:left w:val="nil"/>
              <w:bottom w:val="single" w:sz="4" w:space="0" w:color="auto"/>
              <w:right w:val="single" w:sz="4" w:space="0" w:color="auto"/>
            </w:tcBorders>
            <w:shd w:val="clear" w:color="auto" w:fill="FFE599" w:themeFill="accent4" w:themeFillTint="66"/>
            <w:noWrap/>
            <w:vAlign w:val="bottom"/>
            <w:hideMark/>
          </w:tcPr>
          <w:p w14:paraId="35D6CEA4"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334 313</w:t>
            </w:r>
          </w:p>
        </w:tc>
        <w:tc>
          <w:tcPr>
            <w:tcW w:w="1275" w:type="dxa"/>
            <w:tcBorders>
              <w:top w:val="nil"/>
              <w:left w:val="nil"/>
              <w:bottom w:val="single" w:sz="4" w:space="0" w:color="auto"/>
              <w:right w:val="single" w:sz="4" w:space="0" w:color="auto"/>
            </w:tcBorders>
            <w:shd w:val="clear" w:color="auto" w:fill="FFE599" w:themeFill="accent4" w:themeFillTint="66"/>
            <w:noWrap/>
            <w:vAlign w:val="bottom"/>
            <w:hideMark/>
          </w:tcPr>
          <w:p w14:paraId="0CC23B8E" w14:textId="77777777" w:rsidR="00F000B0" w:rsidRPr="00CE60CF" w:rsidRDefault="00F000B0" w:rsidP="00F000B0">
            <w:pPr>
              <w:spacing w:after="0" w:line="240" w:lineRule="auto"/>
              <w:jc w:val="right"/>
              <w:rPr>
                <w:rFonts w:ascii="Times New Roman" w:eastAsia="Times New Roman" w:hAnsi="Times New Roman"/>
                <w:b/>
                <w:bCs/>
                <w:color w:val="1F4E79" w:themeColor="accent1" w:themeShade="80"/>
                <w:sz w:val="20"/>
                <w:szCs w:val="20"/>
                <w:lang w:eastAsia="fr-FR"/>
              </w:rPr>
            </w:pPr>
            <w:r w:rsidRPr="00CE60CF">
              <w:rPr>
                <w:rFonts w:ascii="Times New Roman" w:eastAsia="Times New Roman" w:hAnsi="Times New Roman"/>
                <w:b/>
                <w:bCs/>
                <w:color w:val="1F4E79" w:themeColor="accent1" w:themeShade="80"/>
                <w:sz w:val="20"/>
                <w:szCs w:val="20"/>
                <w:lang w:eastAsia="fr-FR"/>
              </w:rPr>
              <w:t>271 740 483</w:t>
            </w:r>
          </w:p>
        </w:tc>
      </w:tr>
    </w:tbl>
    <w:p w14:paraId="6F150C5D" w14:textId="77777777" w:rsidR="00F000B0" w:rsidRPr="00CE60CF" w:rsidRDefault="00F000B0" w:rsidP="00F000B0">
      <w:pPr>
        <w:pStyle w:val="Paragraphedeliste"/>
        <w:ind w:left="1352"/>
        <w:jc w:val="both"/>
        <w:rPr>
          <w:rFonts w:ascii="Times New Roman" w:hAnsi="Times New Roman" w:cs="Times New Roman"/>
          <w:sz w:val="18"/>
          <w:szCs w:val="18"/>
        </w:rPr>
      </w:pPr>
      <w:r w:rsidRPr="00CE60CF">
        <w:rPr>
          <w:rFonts w:ascii="Times New Roman" w:hAnsi="Times New Roman" w:cs="Times New Roman"/>
          <w:sz w:val="18"/>
          <w:szCs w:val="18"/>
        </w:rPr>
        <w:t xml:space="preserve">Source : Déclarations des EPE à ITIE-RDC 216. </w:t>
      </w:r>
    </w:p>
    <w:p w14:paraId="15883F67" w14:textId="337A8705" w:rsidR="008E309D" w:rsidRDefault="008E309D">
      <w:pPr>
        <w:rPr>
          <w:rFonts w:ascii="Times New Roman" w:eastAsiaTheme="minorHAnsi" w:hAnsi="Times New Roman"/>
          <w:sz w:val="24"/>
          <w:szCs w:val="24"/>
        </w:rPr>
      </w:pPr>
      <w:r>
        <w:rPr>
          <w:rFonts w:ascii="Times New Roman" w:hAnsi="Times New Roman"/>
          <w:sz w:val="24"/>
          <w:szCs w:val="24"/>
        </w:rPr>
        <w:br w:type="page"/>
      </w:r>
    </w:p>
    <w:p w14:paraId="41247A4E" w14:textId="77777777" w:rsidR="008E309D" w:rsidRDefault="008E309D" w:rsidP="00F000B0">
      <w:pPr>
        <w:pStyle w:val="Paragraphedeliste"/>
        <w:ind w:left="1440"/>
        <w:jc w:val="both"/>
        <w:rPr>
          <w:rFonts w:ascii="Times New Roman" w:hAnsi="Times New Roman" w:cs="Times New Roman"/>
          <w:sz w:val="24"/>
          <w:szCs w:val="24"/>
        </w:rPr>
        <w:sectPr w:rsidR="008E309D" w:rsidSect="008E309D">
          <w:pgSz w:w="16838" w:h="11906" w:orient="landscape"/>
          <w:pgMar w:top="851" w:right="1418" w:bottom="1418" w:left="1418" w:header="709" w:footer="709" w:gutter="0"/>
          <w:cols w:space="708"/>
          <w:docGrid w:linePitch="360"/>
        </w:sectPr>
      </w:pPr>
    </w:p>
    <w:p w14:paraId="26F51063" w14:textId="77777777" w:rsidR="00F000B0" w:rsidRPr="005B27A1" w:rsidRDefault="00F000B0"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2" w:name="_Toc518468112"/>
      <w:r w:rsidRPr="005B27A1">
        <w:rPr>
          <w:rFonts w:ascii="Times New Roman" w:hAnsi="Times New Roman" w:cs="Times New Roman"/>
          <w:color w:val="2F5496" w:themeColor="accent5" w:themeShade="BF"/>
          <w:sz w:val="24"/>
          <w:szCs w:val="24"/>
        </w:rPr>
        <w:lastRenderedPageBreak/>
        <w:t>Vente des parts de production de l’Etat</w:t>
      </w:r>
      <w:bookmarkEnd w:id="192"/>
    </w:p>
    <w:p w14:paraId="228261C2" w14:textId="77777777" w:rsidR="003F1E24" w:rsidRPr="00AA5351" w:rsidRDefault="003F1E24" w:rsidP="003F1E24">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7EED275D" w14:textId="77777777" w:rsidR="00F000B0" w:rsidRPr="00AA5351" w:rsidRDefault="00F000B0" w:rsidP="00F000B0">
      <w:pPr>
        <w:pStyle w:val="Paragraphedeliste"/>
        <w:ind w:left="1440"/>
        <w:jc w:val="both"/>
        <w:rPr>
          <w:rFonts w:ascii="Times New Roman" w:hAnsi="Times New Roman" w:cs="Times New Roman"/>
          <w:sz w:val="24"/>
          <w:szCs w:val="24"/>
        </w:rPr>
      </w:pPr>
    </w:p>
    <w:p w14:paraId="6B0C1D75" w14:textId="77777777" w:rsidR="00F000B0" w:rsidRPr="005B27A1" w:rsidRDefault="00F000B0" w:rsidP="000738D3">
      <w:pPr>
        <w:pStyle w:val="Titre3"/>
        <w:keepNext w:val="0"/>
        <w:keepLines w:val="0"/>
        <w:numPr>
          <w:ilvl w:val="0"/>
          <w:numId w:val="47"/>
        </w:numPr>
        <w:ind w:hanging="218"/>
        <w:contextualSpacing w:val="0"/>
        <w:jc w:val="both"/>
        <w:rPr>
          <w:rFonts w:ascii="Times New Roman" w:hAnsi="Times New Roman" w:cs="Times New Roman"/>
          <w:color w:val="2F5496" w:themeColor="accent5" w:themeShade="BF"/>
          <w:sz w:val="24"/>
          <w:szCs w:val="24"/>
        </w:rPr>
      </w:pPr>
      <w:bookmarkStart w:id="193" w:name="_Toc518468113"/>
      <w:r w:rsidRPr="005B27A1">
        <w:rPr>
          <w:rFonts w:ascii="Times New Roman" w:hAnsi="Times New Roman" w:cs="Times New Roman"/>
          <w:color w:val="2F5496" w:themeColor="accent5" w:themeShade="BF"/>
          <w:sz w:val="24"/>
          <w:szCs w:val="24"/>
        </w:rPr>
        <w:t>Dépenses quasi fiscales des EPE</w:t>
      </w:r>
      <w:bookmarkEnd w:id="193"/>
    </w:p>
    <w:p w14:paraId="4AD30950" w14:textId="77777777" w:rsidR="003F1E24" w:rsidRPr="00AA5351" w:rsidRDefault="003F1E24" w:rsidP="003F1E24">
      <w:pPr>
        <w:pStyle w:val="Paragraphedeliste"/>
        <w:ind w:left="644"/>
        <w:jc w:val="both"/>
        <w:rPr>
          <w:rFonts w:ascii="Times New Roman" w:hAnsi="Times New Roman" w:cs="Times New Roman"/>
          <w:sz w:val="24"/>
          <w:szCs w:val="24"/>
        </w:rPr>
      </w:pPr>
      <w:r>
        <w:rPr>
          <w:rFonts w:ascii="Times New Roman" w:hAnsi="Times New Roman" w:cs="Times New Roman"/>
          <w:sz w:val="24"/>
          <w:szCs w:val="24"/>
        </w:rPr>
        <w:t>Ces informations seront contenues dans le rapport de revue des états financiers des EPE en cours d’élaboration.</w:t>
      </w:r>
    </w:p>
    <w:p w14:paraId="1D192CFD" w14:textId="3957039E" w:rsidR="00F000B0" w:rsidRPr="00AA5351" w:rsidRDefault="00F000B0" w:rsidP="00F000B0">
      <w:pPr>
        <w:pStyle w:val="Paragraphedeliste"/>
        <w:ind w:left="1440"/>
        <w:jc w:val="both"/>
        <w:rPr>
          <w:rFonts w:ascii="Times New Roman" w:hAnsi="Times New Roman" w:cs="Times New Roman"/>
          <w:sz w:val="24"/>
          <w:szCs w:val="24"/>
        </w:rPr>
      </w:pPr>
    </w:p>
    <w:p w14:paraId="69DFA11A" w14:textId="30675C5E" w:rsidR="00F000B0" w:rsidRPr="00B072C9" w:rsidRDefault="00F000B0" w:rsidP="00F000B0">
      <w:pPr>
        <w:pStyle w:val="Paragraphedeliste"/>
        <w:ind w:left="1440"/>
        <w:jc w:val="both"/>
        <w:rPr>
          <w:rFonts w:ascii="Times New Roman" w:hAnsi="Times New Roman"/>
          <w:sz w:val="24"/>
        </w:rPr>
      </w:pPr>
      <w:r>
        <w:br w:type="page"/>
      </w:r>
    </w:p>
    <w:p w14:paraId="43344F51" w14:textId="0E7B0187" w:rsidR="00F000B0" w:rsidRPr="007F0DC0" w:rsidRDefault="00F000B0" w:rsidP="000668F9">
      <w:pPr>
        <w:pStyle w:val="Titre1"/>
        <w:numPr>
          <w:ilvl w:val="0"/>
          <w:numId w:val="4"/>
        </w:numPr>
        <w:ind w:left="426" w:hanging="425"/>
        <w:rPr>
          <w:rFonts w:ascii="Times New Roman" w:hAnsi="Times New Roman" w:cs="Times New Roman"/>
          <w:sz w:val="28"/>
          <w:szCs w:val="28"/>
        </w:rPr>
      </w:pPr>
      <w:bookmarkStart w:id="194" w:name="_Toc518468114"/>
      <w:r w:rsidRPr="007F0DC0">
        <w:rPr>
          <w:rFonts w:ascii="Times New Roman" w:hAnsi="Times New Roman" w:cs="Times New Roman"/>
          <w:sz w:val="28"/>
          <w:szCs w:val="28"/>
        </w:rPr>
        <w:lastRenderedPageBreak/>
        <w:t xml:space="preserve">PROCESSUS </w:t>
      </w:r>
      <w:r w:rsidR="00D256CC">
        <w:rPr>
          <w:rFonts w:ascii="Times New Roman" w:hAnsi="Times New Roman" w:cs="Times New Roman"/>
          <w:sz w:val="28"/>
          <w:szCs w:val="28"/>
        </w:rPr>
        <w:t xml:space="preserve">D’ELABORATION DU </w:t>
      </w:r>
      <w:r w:rsidRPr="007F0DC0">
        <w:rPr>
          <w:rFonts w:ascii="Times New Roman" w:hAnsi="Times New Roman" w:cs="Times New Roman"/>
          <w:sz w:val="28"/>
          <w:szCs w:val="28"/>
        </w:rPr>
        <w:t>BUDGET</w:t>
      </w:r>
      <w:bookmarkEnd w:id="194"/>
      <w:r w:rsidR="00D256CC">
        <w:rPr>
          <w:rFonts w:ascii="Times New Roman" w:hAnsi="Times New Roman" w:cs="Times New Roman"/>
          <w:sz w:val="28"/>
          <w:szCs w:val="28"/>
        </w:rPr>
        <w:t xml:space="preserve"> </w:t>
      </w:r>
      <w:r w:rsidRPr="007F0DC0">
        <w:rPr>
          <w:rFonts w:ascii="Times New Roman" w:hAnsi="Times New Roman" w:cs="Times New Roman"/>
          <w:sz w:val="28"/>
          <w:szCs w:val="28"/>
        </w:rPr>
        <w:t xml:space="preserve"> </w:t>
      </w:r>
    </w:p>
    <w:p w14:paraId="48D3AD58" w14:textId="77777777" w:rsidR="00F000B0" w:rsidRPr="00C52CD8" w:rsidRDefault="00F000B0" w:rsidP="00F000B0">
      <w:pPr>
        <w:jc w:val="both"/>
        <w:rPr>
          <w:rFonts w:ascii="Times New Roman" w:hAnsi="Times New Roman"/>
          <w:sz w:val="24"/>
          <w:szCs w:val="24"/>
        </w:rPr>
      </w:pPr>
      <w:r w:rsidRPr="00C52CD8">
        <w:rPr>
          <w:rFonts w:ascii="Times New Roman" w:hAnsi="Times New Roman"/>
          <w:sz w:val="24"/>
          <w:szCs w:val="24"/>
        </w:rPr>
        <w:t xml:space="preserve">Le pouvoir central, la province ou l’entité territoriale décentralisée présente, chacun en ce qui le concerne et dans un document unique, toutes les ressources et toutes les charges afférentes à une année.  </w:t>
      </w:r>
    </w:p>
    <w:p w14:paraId="7BADD76A" w14:textId="77777777" w:rsidR="00F000B0" w:rsidRDefault="00F000B0" w:rsidP="00F000B0">
      <w:pPr>
        <w:jc w:val="both"/>
        <w:rPr>
          <w:rFonts w:ascii="Times New Roman" w:hAnsi="Times New Roman"/>
          <w:sz w:val="24"/>
          <w:szCs w:val="24"/>
        </w:rPr>
      </w:pPr>
      <w:r w:rsidRPr="00C52CD8">
        <w:rPr>
          <w:rFonts w:ascii="Times New Roman" w:hAnsi="Times New Roman"/>
          <w:sz w:val="24"/>
          <w:szCs w:val="24"/>
        </w:rPr>
        <w:t>Le budget de l’entité territoriale décentralisée est intégré en recettes et en dépenses dans le budget de la province pour constituer le budget provincial. Les budgets provinciaux sont consolidés avec le budget du pouvoir central pour constituer le Budget de l’Etat.</w:t>
      </w:r>
      <w:r w:rsidRPr="00C52CD8">
        <w:rPr>
          <w:rStyle w:val="Appelnotedebasdep"/>
          <w:rFonts w:ascii="Times New Roman" w:hAnsi="Times New Roman"/>
          <w:sz w:val="24"/>
          <w:szCs w:val="24"/>
        </w:rPr>
        <w:footnoteReference w:id="35"/>
      </w:r>
    </w:p>
    <w:p w14:paraId="572E0487" w14:textId="212148E2" w:rsidR="00F000B0" w:rsidRPr="007F0DC0" w:rsidRDefault="001E22F7" w:rsidP="000738D3">
      <w:pPr>
        <w:pStyle w:val="Titre2"/>
        <w:numPr>
          <w:ilvl w:val="0"/>
          <w:numId w:val="55"/>
        </w:numPr>
        <w:ind w:left="426"/>
        <w:rPr>
          <w:rFonts w:ascii="Times New Roman" w:hAnsi="Times New Roman" w:cs="Times New Roman"/>
          <w:sz w:val="24"/>
          <w:szCs w:val="24"/>
        </w:rPr>
      </w:pPr>
      <w:bookmarkStart w:id="195" w:name="_Toc518468115"/>
      <w:r>
        <w:rPr>
          <w:rFonts w:ascii="Times New Roman" w:hAnsi="Times New Roman" w:cs="Times New Roman"/>
          <w:caps w:val="0"/>
          <w:sz w:val="24"/>
          <w:szCs w:val="24"/>
        </w:rPr>
        <w:t>Budget de l’E</w:t>
      </w:r>
      <w:r w:rsidRPr="007F0DC0">
        <w:rPr>
          <w:rFonts w:ascii="Times New Roman" w:hAnsi="Times New Roman" w:cs="Times New Roman"/>
          <w:caps w:val="0"/>
          <w:sz w:val="24"/>
          <w:szCs w:val="24"/>
        </w:rPr>
        <w:t>tat</w:t>
      </w:r>
      <w:bookmarkEnd w:id="195"/>
      <w:r w:rsidRPr="007F0DC0">
        <w:rPr>
          <w:rFonts w:ascii="Times New Roman" w:hAnsi="Times New Roman" w:cs="Times New Roman"/>
          <w:caps w:val="0"/>
          <w:sz w:val="24"/>
          <w:szCs w:val="24"/>
        </w:rPr>
        <w:t xml:space="preserve"> </w:t>
      </w:r>
    </w:p>
    <w:p w14:paraId="49178290" w14:textId="77777777" w:rsidR="00F000B0" w:rsidRPr="00C52CD8" w:rsidRDefault="00F000B0" w:rsidP="007F0DC0">
      <w:pPr>
        <w:ind w:left="426"/>
        <w:jc w:val="both"/>
        <w:rPr>
          <w:rFonts w:ascii="Times New Roman" w:hAnsi="Times New Roman"/>
          <w:b/>
          <w:sz w:val="24"/>
          <w:szCs w:val="24"/>
        </w:rPr>
      </w:pPr>
      <w:r w:rsidRPr="00C52CD8">
        <w:rPr>
          <w:rFonts w:ascii="Times New Roman" w:hAnsi="Times New Roman"/>
          <w:b/>
          <w:sz w:val="24"/>
          <w:szCs w:val="24"/>
        </w:rPr>
        <w:t xml:space="preserve">i- </w:t>
      </w:r>
      <w:r w:rsidRPr="007F0DC0">
        <w:rPr>
          <w:rFonts w:ascii="Times New Roman" w:hAnsi="Times New Roman"/>
          <w:b/>
          <w:sz w:val="24"/>
          <w:szCs w:val="24"/>
          <w:u w:val="single"/>
        </w:rPr>
        <w:t>Préparation du budget</w:t>
      </w:r>
      <w:r w:rsidRPr="00C52CD8">
        <w:rPr>
          <w:rFonts w:ascii="Times New Roman" w:hAnsi="Times New Roman"/>
          <w:b/>
          <w:sz w:val="24"/>
          <w:szCs w:val="24"/>
        </w:rPr>
        <w:t xml:space="preserve">  </w:t>
      </w:r>
    </w:p>
    <w:p w14:paraId="25F8B664" w14:textId="77777777" w:rsidR="00F000B0" w:rsidRPr="00C52CD8" w:rsidRDefault="00F000B0" w:rsidP="007F0DC0">
      <w:pPr>
        <w:ind w:left="426"/>
        <w:jc w:val="both"/>
        <w:rPr>
          <w:rFonts w:ascii="Times New Roman" w:hAnsi="Times New Roman"/>
          <w:sz w:val="24"/>
          <w:szCs w:val="24"/>
        </w:rPr>
      </w:pPr>
      <w:r w:rsidRPr="00C52CD8">
        <w:rPr>
          <w:rFonts w:ascii="Times New Roman" w:hAnsi="Times New Roman"/>
          <w:sz w:val="24"/>
          <w:szCs w:val="24"/>
        </w:rPr>
        <w:t xml:space="preserve">Les prévisions des recettes et des dépenses devront être élaborées par l’unité de gestion budgétaire de chaque ministère ou institution, composée du Secrétaire Général, du Conseiller financier, du Directeur des études, du Directeur des services généraux, du Sous-gestionnaire des crédits et du Contrôleur budgétaire. Elles doivent être discutées en commission budgétaire interne avant leur transmission au Ministère du Budget par l’autorité de tutelle. </w:t>
      </w:r>
    </w:p>
    <w:p w14:paraId="5179D944" w14:textId="77777777" w:rsidR="00F000B0" w:rsidRPr="007F0DC0" w:rsidRDefault="00F000B0" w:rsidP="007F0DC0">
      <w:pPr>
        <w:ind w:left="426"/>
        <w:jc w:val="both"/>
        <w:rPr>
          <w:rFonts w:ascii="Times New Roman" w:hAnsi="Times New Roman"/>
          <w:b/>
          <w:sz w:val="24"/>
          <w:szCs w:val="24"/>
          <w:u w:val="single"/>
        </w:rPr>
      </w:pPr>
      <w:r w:rsidRPr="007F0DC0">
        <w:rPr>
          <w:rFonts w:ascii="Times New Roman" w:hAnsi="Times New Roman"/>
          <w:b/>
          <w:sz w:val="24"/>
          <w:szCs w:val="24"/>
          <w:u w:val="single"/>
        </w:rPr>
        <w:t xml:space="preserve">ii- Approbation du Budget </w:t>
      </w:r>
    </w:p>
    <w:p w14:paraId="4A90F5B8" w14:textId="77777777" w:rsidR="00F000B0" w:rsidRDefault="00F000B0" w:rsidP="007F0DC0">
      <w:pPr>
        <w:ind w:left="426"/>
        <w:jc w:val="both"/>
        <w:rPr>
          <w:rFonts w:ascii="Times New Roman" w:hAnsi="Times New Roman"/>
          <w:sz w:val="24"/>
          <w:szCs w:val="24"/>
        </w:rPr>
      </w:pPr>
      <w:r w:rsidRPr="00C52CD8">
        <w:rPr>
          <w:rFonts w:ascii="Times New Roman" w:hAnsi="Times New Roman"/>
          <w:sz w:val="24"/>
          <w:szCs w:val="24"/>
        </w:rPr>
        <w:t xml:space="preserve">Ces différentes prévisions sont approuvées par l’autorité hiérarchique de l’institution ou du ministère pour le pouvoir central et transmises à la Direction de la Préparation et du Suivi du Budget (DPSB). Pour la province, les prévisions des services déconcentrés sont approuvées par le gouverneur de province avant leur transmission au ministère du budget du pouvoir central. Après harmonisation, une préfiguration de l’avant-projet de la Loi de Finances est présentée à la Commission interministérielle chargée de l’Economie, Finances et Reconstruction (ECOFIRE) pour examen, et au Gouvernement pour approbation en Conseil des Ministres. Le projet de Budget arrêté par le Gouvernement est présenté au Parlement par le Premier Ministre, Chef du Gouvernement.  Les discussions du Budget en commissions parlementaires sont coordonnées par le Ministre du Budget, assisté de chaque ministre sectoriel ainsi que des Ministres des Finances et du Plan, notamment en ce qui concerne les recettes et les investissements.  Adoptée par les deux chambres du Parlement, la Loi de Finances est promulguée par le Président de la République et publiée au Journal Officiel </w:t>
      </w:r>
    </w:p>
    <w:p w14:paraId="57BD1FA5" w14:textId="636CE9AE" w:rsidR="00F000B0" w:rsidRPr="007F0DC0" w:rsidRDefault="00923952" w:rsidP="00F000B0">
      <w:pPr>
        <w:ind w:left="567"/>
        <w:jc w:val="both"/>
        <w:rPr>
          <w:rFonts w:ascii="Times New Roman" w:hAnsi="Times New Roman"/>
          <w:b/>
          <w:sz w:val="24"/>
          <w:szCs w:val="24"/>
          <w:u w:val="single"/>
        </w:rPr>
      </w:pPr>
      <w:r>
        <w:rPr>
          <w:rFonts w:ascii="Times New Roman" w:hAnsi="Times New Roman"/>
          <w:b/>
          <w:sz w:val="24"/>
          <w:szCs w:val="24"/>
          <w:u w:val="single"/>
        </w:rPr>
        <w:t>iii.</w:t>
      </w:r>
      <w:r w:rsidR="00F000B0" w:rsidRPr="007F0DC0">
        <w:rPr>
          <w:rFonts w:ascii="Times New Roman" w:hAnsi="Times New Roman"/>
          <w:b/>
          <w:sz w:val="24"/>
          <w:szCs w:val="24"/>
          <w:u w:val="single"/>
        </w:rPr>
        <w:t xml:space="preserve"> Exécution du Budget </w:t>
      </w:r>
    </w:p>
    <w:p w14:paraId="3364C167"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b/>
          <w:sz w:val="24"/>
          <w:szCs w:val="24"/>
        </w:rPr>
        <w:t>En matière de recettes :</w:t>
      </w:r>
      <w:r w:rsidRPr="00C52CD8">
        <w:rPr>
          <w:rFonts w:ascii="Times New Roman" w:hAnsi="Times New Roman"/>
          <w:sz w:val="24"/>
          <w:szCs w:val="24"/>
        </w:rPr>
        <w:t xml:space="preserve"> </w:t>
      </w:r>
    </w:p>
    <w:p w14:paraId="3B5C58FF"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Les droits, taxes et redevances constatés, liquidés, ordonnancés et recouvrés par acte générateur, doivent être communiqués quotidiennement par les régies financières aux Ministères des Finances et du Budget pour suivi. Les séances de conciliation sont mensuellement organisées, d’une part, au plus tard le 10 du mois suivant, entre les Ministères des Finances, du Budget, les régies financières, la Banque Centrale du Congo et les autres intervenants financiers et, d’autre part, au plus tard le 5 du mois suivant, entre la DGRAD et les services d’assiette, en vue d’évaluer le niveau de réalisation effective des recettes publiques et leur cohérence. </w:t>
      </w:r>
    </w:p>
    <w:p w14:paraId="7F6E5A0B" w14:textId="0277E1E4" w:rsidR="00F000B0" w:rsidRPr="00C52CD8" w:rsidRDefault="00F000B0" w:rsidP="004D7873">
      <w:pPr>
        <w:ind w:left="851"/>
        <w:jc w:val="both"/>
        <w:rPr>
          <w:rFonts w:ascii="Times New Roman" w:hAnsi="Times New Roman"/>
          <w:sz w:val="24"/>
          <w:szCs w:val="24"/>
        </w:rPr>
      </w:pPr>
      <w:r w:rsidRPr="00C52CD8">
        <w:rPr>
          <w:rFonts w:ascii="Times New Roman" w:hAnsi="Times New Roman"/>
          <w:sz w:val="24"/>
          <w:szCs w:val="24"/>
        </w:rPr>
        <w:lastRenderedPageBreak/>
        <w:t xml:space="preserve">Les régies ont l’obligation de transmettre au plus tard le 15 du mois suivant à DPSB et à la Direction du Contrôle Budgétaire (DCB) la situation des synthèses mensuelles. </w:t>
      </w:r>
    </w:p>
    <w:p w14:paraId="47815700"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Les régies financières sont tenues de transmettre, aux Ministres ayant les Finances et le Budget dans leurs attributions, les statistiques mensuelles consolidées des quatre étapes de réalisation des recettes à savoir les droits constatés, liquidés, ordonnancés et recouvrés. </w:t>
      </w:r>
    </w:p>
    <w:p w14:paraId="47F37058"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En ce qui concerne les recettes encadrées par la DGRAD, les services d’assiette ont l’obligation de communiquer mensuellement les droits constatés et liquidés à la DGRAD pour consolidation avec copie aux Ministres ayant les Finances et le Budget dans leurs attributions. </w:t>
      </w:r>
    </w:p>
    <w:p w14:paraId="6129B589"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La Direction du Trésor et de l’Ordonnancement (DTO), en collaboration avec la DPSB, assurent un suivi statistique de différentes étapes de la réalisation des recettes de l’État et en font régulièrement rapport à leurs hiérarchies respectives. </w:t>
      </w:r>
    </w:p>
    <w:p w14:paraId="1826333F" w14:textId="77777777" w:rsidR="00F000B0" w:rsidRPr="00C52CD8" w:rsidRDefault="00F000B0" w:rsidP="00F000B0">
      <w:pPr>
        <w:ind w:left="851"/>
        <w:jc w:val="both"/>
        <w:rPr>
          <w:rFonts w:ascii="Times New Roman" w:hAnsi="Times New Roman"/>
          <w:b/>
          <w:sz w:val="24"/>
          <w:szCs w:val="24"/>
        </w:rPr>
      </w:pPr>
      <w:r w:rsidRPr="00C52CD8">
        <w:rPr>
          <w:rFonts w:ascii="Times New Roman" w:hAnsi="Times New Roman"/>
          <w:b/>
          <w:sz w:val="24"/>
          <w:szCs w:val="24"/>
        </w:rPr>
        <w:t xml:space="preserve">En matière de dépenses :  </w:t>
      </w:r>
    </w:p>
    <w:p w14:paraId="0C88AFA3"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Chaque semaine, la Direction du Contrôle Budgétaire est tenue de présenter au Ministre ayant le Budget dans ses attributions le tableau de suivi de la mise en œuvre des objectifs et actions du Programme du Gouvernement. Ce tableau comprend les parts relatives des crédits budgétaires alloués par action et celles des crédits budgétaires engagés et liquidés par action. </w:t>
      </w:r>
    </w:p>
    <w:p w14:paraId="72C6B915"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Toute demande de paiement par lettre adressée directement au Ministre en charge des Finances ou du Budget est prohibée et le dépassement des crédits budgétaires est interdit.  </w:t>
      </w:r>
    </w:p>
    <w:p w14:paraId="4CB755A9"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En cas d’insuffisance des crédits, le Gestionnaire des crédits est tenu de solliciter le virement des crédits au Ministre en charge du Budget ou, le cas échéant, solliciter le transfert des crédits au Parlement, après avis du Conseil des Ministres. </w:t>
      </w:r>
    </w:p>
    <w:p w14:paraId="305E1820" w14:textId="77777777" w:rsidR="00F000B0" w:rsidRPr="00C52CD8" w:rsidRDefault="00F000B0" w:rsidP="00F000B0">
      <w:pPr>
        <w:ind w:left="851"/>
        <w:jc w:val="both"/>
        <w:rPr>
          <w:rFonts w:ascii="Times New Roman" w:hAnsi="Times New Roman"/>
          <w:sz w:val="24"/>
          <w:szCs w:val="24"/>
        </w:rPr>
      </w:pPr>
      <w:r w:rsidRPr="00C52CD8">
        <w:rPr>
          <w:rFonts w:ascii="Times New Roman" w:hAnsi="Times New Roman"/>
          <w:sz w:val="24"/>
          <w:szCs w:val="24"/>
        </w:rPr>
        <w:t xml:space="preserve">Le paiement de toute dépense est préalablement subordonné à son engagement, à sa liquidation et à son ordonnancement. </w:t>
      </w:r>
    </w:p>
    <w:p w14:paraId="24D05466" w14:textId="050F3FC6" w:rsidR="00F000B0" w:rsidRPr="007F0DC0" w:rsidRDefault="001E22F7" w:rsidP="004326C6">
      <w:pPr>
        <w:pStyle w:val="Titre2"/>
        <w:numPr>
          <w:ilvl w:val="0"/>
          <w:numId w:val="55"/>
        </w:numPr>
        <w:tabs>
          <w:tab w:val="left" w:pos="284"/>
          <w:tab w:val="left" w:pos="426"/>
        </w:tabs>
        <w:ind w:left="142" w:hanging="76"/>
        <w:rPr>
          <w:rFonts w:ascii="Times New Roman" w:hAnsi="Times New Roman" w:cs="Times New Roman"/>
          <w:sz w:val="24"/>
          <w:szCs w:val="24"/>
        </w:rPr>
      </w:pPr>
      <w:bookmarkStart w:id="196" w:name="_Toc518468116"/>
      <w:r w:rsidRPr="007F0DC0">
        <w:rPr>
          <w:rFonts w:ascii="Times New Roman" w:hAnsi="Times New Roman" w:cs="Times New Roman"/>
          <w:caps w:val="0"/>
          <w:sz w:val="24"/>
          <w:szCs w:val="24"/>
        </w:rPr>
        <w:t xml:space="preserve">Budget des provinces et des </w:t>
      </w:r>
      <w:r w:rsidR="00A55F63" w:rsidRPr="007F0DC0">
        <w:rPr>
          <w:rFonts w:ascii="Times New Roman" w:hAnsi="Times New Roman" w:cs="Times New Roman"/>
          <w:caps w:val="0"/>
          <w:sz w:val="24"/>
          <w:szCs w:val="24"/>
        </w:rPr>
        <w:t xml:space="preserve">Entités </w:t>
      </w:r>
      <w:r w:rsidR="00A55F63">
        <w:rPr>
          <w:rFonts w:ascii="Times New Roman" w:hAnsi="Times New Roman" w:cs="Times New Roman"/>
          <w:caps w:val="0"/>
          <w:sz w:val="24"/>
          <w:szCs w:val="24"/>
        </w:rPr>
        <w:t>T</w:t>
      </w:r>
      <w:r w:rsidRPr="007F0DC0">
        <w:rPr>
          <w:rFonts w:ascii="Times New Roman" w:hAnsi="Times New Roman" w:cs="Times New Roman"/>
          <w:caps w:val="0"/>
          <w:sz w:val="24"/>
          <w:szCs w:val="24"/>
        </w:rPr>
        <w:t xml:space="preserve">erritoriales </w:t>
      </w:r>
      <w:r w:rsidR="00A55F63" w:rsidRPr="007F0DC0">
        <w:rPr>
          <w:rFonts w:ascii="Times New Roman" w:hAnsi="Times New Roman" w:cs="Times New Roman"/>
          <w:caps w:val="0"/>
          <w:sz w:val="24"/>
          <w:szCs w:val="24"/>
        </w:rPr>
        <w:t>Décentralisées</w:t>
      </w:r>
      <w:r w:rsidR="00A55F63">
        <w:rPr>
          <w:rFonts w:ascii="Times New Roman" w:hAnsi="Times New Roman" w:cs="Times New Roman"/>
          <w:caps w:val="0"/>
          <w:sz w:val="24"/>
          <w:szCs w:val="24"/>
        </w:rPr>
        <w:t xml:space="preserve"> </w:t>
      </w:r>
      <w:r w:rsidR="00A55F63" w:rsidRPr="00C52CD8">
        <w:rPr>
          <w:rFonts w:ascii="Times New Roman" w:hAnsi="Times New Roman"/>
          <w:sz w:val="24"/>
          <w:szCs w:val="24"/>
        </w:rPr>
        <w:t>(ETD)</w:t>
      </w:r>
      <w:bookmarkEnd w:id="196"/>
      <w:r w:rsidR="00A55F63" w:rsidRPr="00C52CD8">
        <w:rPr>
          <w:rFonts w:ascii="Times New Roman" w:hAnsi="Times New Roman"/>
          <w:sz w:val="24"/>
          <w:szCs w:val="24"/>
        </w:rPr>
        <w:t xml:space="preserve"> </w:t>
      </w:r>
      <w:r w:rsidR="00A55F63" w:rsidRPr="007F0DC0">
        <w:rPr>
          <w:rFonts w:ascii="Times New Roman" w:hAnsi="Times New Roman" w:cs="Times New Roman"/>
          <w:caps w:val="0"/>
          <w:sz w:val="24"/>
          <w:szCs w:val="24"/>
        </w:rPr>
        <w:t xml:space="preserve"> </w:t>
      </w:r>
    </w:p>
    <w:p w14:paraId="67429F8C" w14:textId="22C37E63"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 xml:space="preserve">Le Budget des provinces </w:t>
      </w:r>
      <w:r w:rsidR="00A55F63">
        <w:rPr>
          <w:rFonts w:ascii="Times New Roman" w:hAnsi="Times New Roman"/>
          <w:sz w:val="24"/>
          <w:szCs w:val="24"/>
        </w:rPr>
        <w:t xml:space="preserve">et </w:t>
      </w:r>
      <w:r w:rsidRPr="00C52CD8">
        <w:rPr>
          <w:rFonts w:ascii="Times New Roman" w:hAnsi="Times New Roman"/>
          <w:sz w:val="24"/>
          <w:szCs w:val="24"/>
        </w:rPr>
        <w:t xml:space="preserve">des </w:t>
      </w:r>
      <w:r w:rsidR="00A55F63">
        <w:rPr>
          <w:rFonts w:ascii="Times New Roman" w:hAnsi="Times New Roman"/>
          <w:sz w:val="24"/>
          <w:szCs w:val="24"/>
        </w:rPr>
        <w:t>ETD</w:t>
      </w:r>
      <w:r w:rsidRPr="00C52CD8">
        <w:rPr>
          <w:rFonts w:ascii="Times New Roman" w:hAnsi="Times New Roman"/>
          <w:sz w:val="24"/>
          <w:szCs w:val="24"/>
        </w:rPr>
        <w:t xml:space="preserve"> est élaboré dans la même forme que celui du Pouvoir Central.</w:t>
      </w:r>
    </w:p>
    <w:p w14:paraId="01EFBD8B" w14:textId="77777777"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 xml:space="preserve"> Les instructions spécifiques du Ministre Provincial du Budget déterminent les modalités pratiques d'évaluation des recettes propres des provinces et ETD. </w:t>
      </w:r>
    </w:p>
    <w:p w14:paraId="65471E63" w14:textId="72B8C616" w:rsidR="00F000B0" w:rsidRPr="00C52CD8" w:rsidRDefault="00F000B0" w:rsidP="007F0DC0">
      <w:pPr>
        <w:ind w:left="142"/>
        <w:jc w:val="both"/>
        <w:rPr>
          <w:rFonts w:ascii="Times New Roman" w:hAnsi="Times New Roman"/>
          <w:sz w:val="24"/>
          <w:szCs w:val="24"/>
        </w:rPr>
      </w:pPr>
      <w:r w:rsidRPr="00C52CD8">
        <w:rPr>
          <w:rFonts w:ascii="Times New Roman" w:hAnsi="Times New Roman"/>
          <w:sz w:val="24"/>
          <w:szCs w:val="24"/>
        </w:rPr>
        <w:t>S'agissant particulièrement des E</w:t>
      </w:r>
      <w:r w:rsidR="00A55F63">
        <w:rPr>
          <w:rFonts w:ascii="Times New Roman" w:hAnsi="Times New Roman"/>
          <w:sz w:val="24"/>
          <w:szCs w:val="24"/>
        </w:rPr>
        <w:t>TD, les Gouverneurs de Province</w:t>
      </w:r>
      <w:r w:rsidRPr="00C52CD8">
        <w:rPr>
          <w:rFonts w:ascii="Times New Roman" w:hAnsi="Times New Roman"/>
          <w:sz w:val="24"/>
          <w:szCs w:val="24"/>
        </w:rPr>
        <w:t xml:space="preserve"> exercent un contrôle à priori sur leurs projets de décisions budgétaires avant d'être soumis à </w:t>
      </w:r>
      <w:r w:rsidR="00A55F63">
        <w:rPr>
          <w:rFonts w:ascii="Times New Roman" w:hAnsi="Times New Roman"/>
          <w:sz w:val="24"/>
          <w:szCs w:val="24"/>
        </w:rPr>
        <w:t xml:space="preserve">la </w:t>
      </w:r>
      <w:r w:rsidRPr="00C52CD8">
        <w:rPr>
          <w:rFonts w:ascii="Times New Roman" w:hAnsi="Times New Roman"/>
          <w:sz w:val="24"/>
          <w:szCs w:val="24"/>
        </w:rPr>
        <w:t xml:space="preserve">délibération, conformément aux Articles 97 et 98 de la Loi Organique 08/016 du 7 octobre 2008. </w:t>
      </w:r>
    </w:p>
    <w:p w14:paraId="7465B233" w14:textId="0E7BB0AD" w:rsidR="00F000B0" w:rsidRPr="00101A84" w:rsidRDefault="00F000B0" w:rsidP="007F0DC0">
      <w:pPr>
        <w:ind w:left="142"/>
        <w:jc w:val="both"/>
        <w:rPr>
          <w:rFonts w:ascii="Times New Roman" w:hAnsi="Times New Roman"/>
          <w:sz w:val="24"/>
          <w:szCs w:val="24"/>
        </w:rPr>
      </w:pPr>
      <w:r w:rsidRPr="00C52CD8">
        <w:rPr>
          <w:rFonts w:ascii="Times New Roman" w:hAnsi="Times New Roman"/>
          <w:sz w:val="24"/>
          <w:szCs w:val="24"/>
        </w:rPr>
        <w:t>A cet effet, les ETD transmettent leurs avant-projets de décisions budgétaires aux Gouverneurs de Province afin que ces derniers s’assurent de la conformité avec les hypothèses macroéconomiques retenues dans les prévisions du budget national, avec les projections des recettes ainsi que celles des dépenses prioritaires et obligatoires</w:t>
      </w:r>
      <w:r w:rsidRPr="00101A84">
        <w:rPr>
          <w:rFonts w:ascii="Times New Roman" w:hAnsi="Times New Roman"/>
          <w:sz w:val="24"/>
          <w:szCs w:val="24"/>
        </w:rPr>
        <w:t>.</w:t>
      </w:r>
    </w:p>
    <w:p w14:paraId="7C72577E" w14:textId="77777777" w:rsidR="00F000B0" w:rsidRPr="00590428" w:rsidRDefault="00F000B0" w:rsidP="00F000B0">
      <w:pPr>
        <w:jc w:val="both"/>
        <w:rPr>
          <w:rFonts w:ascii="Times New Roman" w:hAnsi="Times New Roman"/>
          <w:sz w:val="26"/>
          <w:szCs w:val="26"/>
        </w:rPr>
      </w:pPr>
    </w:p>
    <w:p w14:paraId="49937E79" w14:textId="77777777" w:rsidR="00F000B0" w:rsidRDefault="00F000B0" w:rsidP="00F000B0">
      <w:pPr>
        <w:rPr>
          <w:rFonts w:ascii="Times New Roman" w:hAnsi="Times New Roman"/>
          <w:sz w:val="24"/>
          <w:szCs w:val="24"/>
        </w:rPr>
      </w:pPr>
      <w:r>
        <w:rPr>
          <w:rFonts w:ascii="Times New Roman" w:hAnsi="Times New Roman"/>
          <w:sz w:val="24"/>
          <w:szCs w:val="24"/>
        </w:rPr>
        <w:br w:type="page"/>
      </w:r>
    </w:p>
    <w:p w14:paraId="3A67D1FB" w14:textId="77777777" w:rsidR="00F000B0" w:rsidRPr="007F0DC0" w:rsidRDefault="00F000B0" w:rsidP="000668F9">
      <w:pPr>
        <w:pStyle w:val="Titre1"/>
        <w:numPr>
          <w:ilvl w:val="0"/>
          <w:numId w:val="4"/>
        </w:numPr>
        <w:ind w:left="426" w:hanging="425"/>
        <w:rPr>
          <w:rFonts w:ascii="Times New Roman" w:hAnsi="Times New Roman" w:cs="Times New Roman"/>
          <w:sz w:val="28"/>
          <w:szCs w:val="28"/>
        </w:rPr>
      </w:pPr>
      <w:bookmarkStart w:id="197" w:name="_Toc518468117"/>
      <w:r w:rsidRPr="007F0DC0">
        <w:rPr>
          <w:rFonts w:ascii="Times New Roman" w:hAnsi="Times New Roman" w:cs="Times New Roman"/>
          <w:sz w:val="28"/>
          <w:szCs w:val="28"/>
        </w:rPr>
        <w:lastRenderedPageBreak/>
        <w:t>SUIVI DES RECOMMANDATIONS ISSUES DU RAPPORTAGE ITIE</w:t>
      </w:r>
      <w:bookmarkEnd w:id="197"/>
    </w:p>
    <w:p w14:paraId="3BEF64D9" w14:textId="77777777" w:rsidR="00F000B0" w:rsidRDefault="00F000B0" w:rsidP="000668F9">
      <w:pPr>
        <w:jc w:val="both"/>
        <w:rPr>
          <w:rFonts w:ascii="Times New Roman" w:hAnsi="Times New Roman"/>
          <w:sz w:val="24"/>
          <w:szCs w:val="24"/>
        </w:rPr>
      </w:pPr>
      <w:r>
        <w:rPr>
          <w:rFonts w:ascii="Times New Roman" w:hAnsi="Times New Roman"/>
          <w:sz w:val="24"/>
          <w:szCs w:val="24"/>
        </w:rPr>
        <w:t>Les rapports ITIE sont susceptibles d’améliorer les systèmes tant des institutions publiques que des entreprises. Ceci, au moyen de l’identification des problèmes  et des lacunes en lien avec la gestion des ressources naturelles formulés par l’administrateur indépendant sous-forme des recommandations auxquelles le pays mettant en œuvre, par l’entremise de son Groupe Multipartite, est tenu de donner suite.</w:t>
      </w:r>
    </w:p>
    <w:p w14:paraId="69FCAA6D" w14:textId="77777777" w:rsidR="00F000B0" w:rsidRDefault="00F000B0" w:rsidP="000668F9">
      <w:pPr>
        <w:jc w:val="both"/>
        <w:rPr>
          <w:rFonts w:ascii="Times New Roman" w:hAnsi="Times New Roman"/>
          <w:sz w:val="24"/>
          <w:szCs w:val="24"/>
        </w:rPr>
      </w:pPr>
      <w:r>
        <w:rPr>
          <w:rFonts w:ascii="Times New Roman" w:hAnsi="Times New Roman"/>
          <w:sz w:val="24"/>
          <w:szCs w:val="24"/>
        </w:rPr>
        <w:t xml:space="preserve">A cet effet, le Groupe Multipartite </w:t>
      </w:r>
      <w:r w:rsidRPr="00FA7E70">
        <w:rPr>
          <w:rFonts w:ascii="Times New Roman" w:hAnsi="Times New Roman"/>
          <w:sz w:val="24"/>
          <w:szCs w:val="24"/>
        </w:rPr>
        <w:t xml:space="preserve">est appelé  à répertorier  les recommandations faites dans le cadre du rapportage ITIE </w:t>
      </w:r>
      <w:r>
        <w:rPr>
          <w:rFonts w:ascii="Times New Roman" w:hAnsi="Times New Roman"/>
          <w:sz w:val="24"/>
          <w:szCs w:val="24"/>
        </w:rPr>
        <w:t xml:space="preserve"> ainsi</w:t>
      </w:r>
      <w:r w:rsidRPr="00FA7E70">
        <w:rPr>
          <w:rFonts w:ascii="Times New Roman" w:hAnsi="Times New Roman"/>
          <w:sz w:val="24"/>
          <w:szCs w:val="24"/>
        </w:rPr>
        <w:t xml:space="preserve"> </w:t>
      </w:r>
      <w:r>
        <w:rPr>
          <w:rFonts w:ascii="Times New Roman" w:hAnsi="Times New Roman"/>
          <w:sz w:val="24"/>
          <w:szCs w:val="24"/>
        </w:rPr>
        <w:t>qu’</w:t>
      </w:r>
      <w:r w:rsidRPr="00FA7E70">
        <w:rPr>
          <w:rFonts w:ascii="Times New Roman" w:hAnsi="Times New Roman"/>
          <w:sz w:val="24"/>
          <w:szCs w:val="24"/>
        </w:rPr>
        <w:t>à documenter les ac</w:t>
      </w:r>
      <w:r>
        <w:rPr>
          <w:rFonts w:ascii="Times New Roman" w:hAnsi="Times New Roman"/>
          <w:sz w:val="24"/>
          <w:szCs w:val="24"/>
        </w:rPr>
        <w:t xml:space="preserve">tions </w:t>
      </w:r>
      <w:r w:rsidRPr="00FA7E70">
        <w:rPr>
          <w:rFonts w:ascii="Times New Roman" w:hAnsi="Times New Roman"/>
          <w:sz w:val="24"/>
          <w:szCs w:val="24"/>
        </w:rPr>
        <w:t xml:space="preserve">qui ont été </w:t>
      </w:r>
      <w:r>
        <w:rPr>
          <w:rFonts w:ascii="Times New Roman" w:hAnsi="Times New Roman"/>
          <w:sz w:val="24"/>
          <w:szCs w:val="24"/>
        </w:rPr>
        <w:t>menée en vue de répondre à chaque</w:t>
      </w:r>
      <w:r w:rsidRPr="00FA7E70">
        <w:rPr>
          <w:rFonts w:ascii="Times New Roman" w:hAnsi="Times New Roman"/>
          <w:sz w:val="24"/>
          <w:szCs w:val="24"/>
        </w:rPr>
        <w:t xml:space="preserve"> </w:t>
      </w:r>
      <w:r>
        <w:rPr>
          <w:rFonts w:ascii="Times New Roman" w:hAnsi="Times New Roman"/>
          <w:sz w:val="24"/>
          <w:szCs w:val="24"/>
        </w:rPr>
        <w:t xml:space="preserve"> recommandation</w:t>
      </w:r>
      <w:r w:rsidRPr="00FA7E70">
        <w:rPr>
          <w:rFonts w:ascii="Times New Roman" w:hAnsi="Times New Roman"/>
          <w:sz w:val="24"/>
          <w:szCs w:val="24"/>
        </w:rPr>
        <w:t xml:space="preserve"> </w:t>
      </w:r>
      <w:r>
        <w:rPr>
          <w:rFonts w:ascii="Times New Roman" w:hAnsi="Times New Roman"/>
          <w:sz w:val="24"/>
          <w:szCs w:val="24"/>
        </w:rPr>
        <w:t>en indiquant le niveau de progrès de</w:t>
      </w:r>
      <w:r w:rsidRPr="00FA7E70">
        <w:rPr>
          <w:rFonts w:ascii="Times New Roman" w:hAnsi="Times New Roman"/>
          <w:sz w:val="24"/>
          <w:szCs w:val="24"/>
        </w:rPr>
        <w:t xml:space="preserve"> </w:t>
      </w:r>
      <w:r>
        <w:rPr>
          <w:rFonts w:ascii="Times New Roman" w:hAnsi="Times New Roman"/>
          <w:sz w:val="24"/>
          <w:szCs w:val="24"/>
        </w:rPr>
        <w:t xml:space="preserve">réalisation. </w:t>
      </w:r>
      <w:r w:rsidRPr="00FA7E70">
        <w:rPr>
          <w:rFonts w:ascii="Times New Roman" w:hAnsi="Times New Roman"/>
          <w:sz w:val="24"/>
          <w:szCs w:val="24"/>
        </w:rPr>
        <w:t xml:space="preserve"> </w:t>
      </w:r>
    </w:p>
    <w:p w14:paraId="1D231062" w14:textId="77777777" w:rsidR="00F000B0" w:rsidRPr="00FA7E70" w:rsidRDefault="00F000B0" w:rsidP="000668F9">
      <w:pPr>
        <w:jc w:val="both"/>
        <w:rPr>
          <w:rFonts w:ascii="Times New Roman" w:hAnsi="Times New Roman"/>
          <w:sz w:val="24"/>
          <w:szCs w:val="24"/>
        </w:rPr>
      </w:pPr>
      <w:r w:rsidRPr="00FA7E70">
        <w:rPr>
          <w:rFonts w:ascii="Times New Roman" w:hAnsi="Times New Roman"/>
          <w:sz w:val="24"/>
          <w:szCs w:val="24"/>
        </w:rPr>
        <w:t xml:space="preserve">Pour ce faire, un atelier des parties prenantes </w:t>
      </w:r>
      <w:r>
        <w:rPr>
          <w:rFonts w:ascii="Times New Roman" w:hAnsi="Times New Roman"/>
          <w:sz w:val="24"/>
          <w:szCs w:val="24"/>
        </w:rPr>
        <w:t>a été organisé en date du 23 juin 2018  à Lubumbashi, afin</w:t>
      </w:r>
      <w:r w:rsidRPr="00FA7E70">
        <w:rPr>
          <w:rFonts w:ascii="Times New Roman" w:hAnsi="Times New Roman"/>
          <w:sz w:val="24"/>
          <w:szCs w:val="24"/>
        </w:rPr>
        <w:t xml:space="preserve"> </w:t>
      </w:r>
      <w:r>
        <w:rPr>
          <w:rFonts w:ascii="Times New Roman" w:hAnsi="Times New Roman"/>
          <w:sz w:val="24"/>
          <w:szCs w:val="24"/>
        </w:rPr>
        <w:t>d’</w:t>
      </w:r>
      <w:r w:rsidRPr="00FA7E70">
        <w:rPr>
          <w:rFonts w:ascii="Times New Roman" w:hAnsi="Times New Roman"/>
          <w:sz w:val="24"/>
          <w:szCs w:val="24"/>
        </w:rPr>
        <w:t xml:space="preserve">évaluer les progrès accomplis dans </w:t>
      </w:r>
      <w:r>
        <w:rPr>
          <w:rFonts w:ascii="Times New Roman" w:hAnsi="Times New Roman"/>
          <w:sz w:val="24"/>
          <w:szCs w:val="24"/>
        </w:rPr>
        <w:t>la réalisation</w:t>
      </w:r>
      <w:r w:rsidRPr="00FA7E70">
        <w:rPr>
          <w:rFonts w:ascii="Times New Roman" w:hAnsi="Times New Roman"/>
          <w:sz w:val="24"/>
          <w:szCs w:val="24"/>
        </w:rPr>
        <w:t xml:space="preserve"> des recommandations</w:t>
      </w:r>
      <w:r>
        <w:rPr>
          <w:rFonts w:ascii="Times New Roman" w:hAnsi="Times New Roman"/>
          <w:sz w:val="24"/>
          <w:szCs w:val="24"/>
        </w:rPr>
        <w:t xml:space="preserve"> issues des rapports ITIE précédents</w:t>
      </w:r>
      <w:r w:rsidRPr="00FA7E70">
        <w:rPr>
          <w:rFonts w:ascii="Times New Roman" w:hAnsi="Times New Roman"/>
          <w:sz w:val="24"/>
          <w:szCs w:val="24"/>
        </w:rPr>
        <w:t>.</w:t>
      </w:r>
    </w:p>
    <w:p w14:paraId="653851F2" w14:textId="2943322A" w:rsidR="00F000B0" w:rsidRDefault="00F000B0" w:rsidP="000668F9">
      <w:pPr>
        <w:jc w:val="both"/>
        <w:rPr>
          <w:rFonts w:ascii="Times New Roman" w:hAnsi="Times New Roman"/>
          <w:sz w:val="24"/>
          <w:szCs w:val="24"/>
        </w:rPr>
      </w:pPr>
      <w:r w:rsidRPr="0095486A">
        <w:rPr>
          <w:rFonts w:ascii="Times New Roman" w:hAnsi="Times New Roman"/>
          <w:sz w:val="24"/>
          <w:szCs w:val="24"/>
        </w:rPr>
        <w:t xml:space="preserve">Il ressort de cette évaluation que, sur </w:t>
      </w:r>
      <w:r w:rsidR="0035335B">
        <w:rPr>
          <w:rFonts w:ascii="Times New Roman" w:hAnsi="Times New Roman"/>
          <w:sz w:val="24"/>
          <w:szCs w:val="24"/>
        </w:rPr>
        <w:t>dix-sept (</w:t>
      </w:r>
      <w:r w:rsidRPr="0095486A">
        <w:rPr>
          <w:rFonts w:ascii="Times New Roman" w:hAnsi="Times New Roman"/>
          <w:sz w:val="24"/>
          <w:szCs w:val="24"/>
        </w:rPr>
        <w:t>17</w:t>
      </w:r>
      <w:r w:rsidR="0035335B">
        <w:rPr>
          <w:rFonts w:ascii="Times New Roman" w:hAnsi="Times New Roman"/>
          <w:sz w:val="24"/>
          <w:szCs w:val="24"/>
        </w:rPr>
        <w:t>)</w:t>
      </w:r>
      <w:r w:rsidRPr="0095486A">
        <w:rPr>
          <w:rFonts w:ascii="Times New Roman" w:hAnsi="Times New Roman"/>
          <w:sz w:val="24"/>
          <w:szCs w:val="24"/>
        </w:rPr>
        <w:t xml:space="preserve"> recommandations</w:t>
      </w:r>
      <w:r w:rsidR="00DA0327">
        <w:rPr>
          <w:rFonts w:ascii="Times New Roman" w:hAnsi="Times New Roman"/>
          <w:sz w:val="24"/>
          <w:szCs w:val="24"/>
        </w:rPr>
        <w:t xml:space="preserve"> issues des précédents Rapports ITIE-RDC</w:t>
      </w:r>
      <w:r w:rsidRPr="0095486A">
        <w:rPr>
          <w:rFonts w:ascii="Times New Roman" w:hAnsi="Times New Roman"/>
          <w:sz w:val="24"/>
          <w:szCs w:val="24"/>
        </w:rPr>
        <w:t xml:space="preserve">, </w:t>
      </w:r>
      <w:r w:rsidR="0035335B">
        <w:rPr>
          <w:rFonts w:ascii="Times New Roman" w:hAnsi="Times New Roman"/>
          <w:sz w:val="24"/>
          <w:szCs w:val="24"/>
        </w:rPr>
        <w:t>six (6</w:t>
      </w:r>
      <w:r>
        <w:rPr>
          <w:rFonts w:ascii="Times New Roman" w:hAnsi="Times New Roman"/>
          <w:sz w:val="24"/>
          <w:szCs w:val="24"/>
        </w:rPr>
        <w:t>)</w:t>
      </w:r>
      <w:r w:rsidRPr="0095486A">
        <w:rPr>
          <w:rFonts w:ascii="Times New Roman" w:hAnsi="Times New Roman"/>
          <w:sz w:val="24"/>
          <w:szCs w:val="24"/>
        </w:rPr>
        <w:t xml:space="preserve"> </w:t>
      </w:r>
      <w:r>
        <w:rPr>
          <w:rFonts w:ascii="Times New Roman" w:hAnsi="Times New Roman"/>
          <w:sz w:val="24"/>
          <w:szCs w:val="24"/>
        </w:rPr>
        <w:t xml:space="preserve"> </w:t>
      </w:r>
      <w:r w:rsidRPr="0095486A">
        <w:rPr>
          <w:rFonts w:ascii="Times New Roman" w:hAnsi="Times New Roman"/>
          <w:sz w:val="24"/>
          <w:szCs w:val="24"/>
        </w:rPr>
        <w:t>ont été exécutées</w:t>
      </w:r>
      <w:r>
        <w:rPr>
          <w:rFonts w:ascii="Times New Roman" w:hAnsi="Times New Roman"/>
          <w:sz w:val="24"/>
          <w:szCs w:val="24"/>
        </w:rPr>
        <w:t>,</w:t>
      </w:r>
      <w:r w:rsidRPr="0095486A">
        <w:rPr>
          <w:rFonts w:ascii="Times New Roman" w:hAnsi="Times New Roman"/>
          <w:sz w:val="24"/>
          <w:szCs w:val="24"/>
        </w:rPr>
        <w:t xml:space="preserve"> </w:t>
      </w:r>
      <w:r>
        <w:rPr>
          <w:rFonts w:ascii="Times New Roman" w:hAnsi="Times New Roman"/>
          <w:sz w:val="24"/>
          <w:szCs w:val="24"/>
        </w:rPr>
        <w:t>dix  (10)</w:t>
      </w:r>
      <w:r w:rsidRPr="0095486A">
        <w:rPr>
          <w:rFonts w:ascii="Times New Roman" w:hAnsi="Times New Roman"/>
          <w:sz w:val="24"/>
          <w:szCs w:val="24"/>
        </w:rPr>
        <w:t xml:space="preserve"> sont en cou</w:t>
      </w:r>
      <w:r>
        <w:rPr>
          <w:rFonts w:ascii="Times New Roman" w:hAnsi="Times New Roman"/>
          <w:sz w:val="24"/>
          <w:szCs w:val="24"/>
        </w:rPr>
        <w:t>rs d’exécution, une (1)  n’a</w:t>
      </w:r>
      <w:r w:rsidRPr="0095486A">
        <w:rPr>
          <w:rFonts w:ascii="Times New Roman" w:hAnsi="Times New Roman"/>
          <w:sz w:val="24"/>
          <w:szCs w:val="24"/>
        </w:rPr>
        <w:t xml:space="preserve"> pas</w:t>
      </w:r>
      <w:r>
        <w:rPr>
          <w:rFonts w:ascii="Times New Roman" w:hAnsi="Times New Roman"/>
          <w:sz w:val="24"/>
          <w:szCs w:val="24"/>
        </w:rPr>
        <w:t xml:space="preserve"> été</w:t>
      </w:r>
      <w:r w:rsidRPr="0095486A">
        <w:rPr>
          <w:rFonts w:ascii="Times New Roman" w:hAnsi="Times New Roman"/>
          <w:sz w:val="24"/>
          <w:szCs w:val="24"/>
        </w:rPr>
        <w:t xml:space="preserve"> </w:t>
      </w:r>
      <w:r>
        <w:rPr>
          <w:rFonts w:ascii="Times New Roman" w:hAnsi="Times New Roman"/>
          <w:sz w:val="24"/>
          <w:szCs w:val="24"/>
        </w:rPr>
        <w:t>cotée par les parties prenantes en raison de l’orientation prise par le Groupe Multipartite en rapport avec l’intégration de l’ITIE dans les systèmes gouvernementaux.</w:t>
      </w:r>
    </w:p>
    <w:p w14:paraId="11E84FB3" w14:textId="3376AC10" w:rsidR="00DA0327" w:rsidRDefault="00DA0327" w:rsidP="00DA0327">
      <w:pPr>
        <w:pStyle w:val="Paragraphedeliste"/>
        <w:numPr>
          <w:ilvl w:val="0"/>
          <w:numId w:val="42"/>
        </w:numPr>
        <w:ind w:left="426"/>
        <w:jc w:val="both"/>
        <w:rPr>
          <w:rFonts w:ascii="Times New Roman" w:hAnsi="Times New Roman"/>
          <w:b/>
          <w:color w:val="1F4E79" w:themeColor="accent1" w:themeShade="80"/>
          <w:sz w:val="24"/>
          <w:szCs w:val="24"/>
        </w:rPr>
      </w:pPr>
      <w:r w:rsidRPr="00DA0327">
        <w:rPr>
          <w:rFonts w:ascii="Times New Roman" w:hAnsi="Times New Roman"/>
          <w:b/>
          <w:color w:val="1F4E79" w:themeColor="accent1" w:themeShade="80"/>
          <w:sz w:val="24"/>
          <w:szCs w:val="24"/>
          <w:u w:val="single"/>
        </w:rPr>
        <w:t>Recommandations exécutées</w:t>
      </w:r>
      <w:r w:rsidRPr="00DA0327">
        <w:rPr>
          <w:rFonts w:ascii="Times New Roman" w:hAnsi="Times New Roman"/>
          <w:b/>
          <w:color w:val="1F4E79" w:themeColor="accent1" w:themeShade="80"/>
          <w:sz w:val="24"/>
          <w:szCs w:val="24"/>
        </w:rPr>
        <w:t> :</w:t>
      </w:r>
    </w:p>
    <w:p w14:paraId="26E96148" w14:textId="2194277D" w:rsidR="00DA0327" w:rsidRPr="00AA0EE1" w:rsidRDefault="00DA0327" w:rsidP="00B02744">
      <w:pPr>
        <w:pStyle w:val="Paragraphedeliste"/>
        <w:numPr>
          <w:ilvl w:val="0"/>
          <w:numId w:val="66"/>
        </w:numPr>
        <w:ind w:left="709"/>
        <w:jc w:val="both"/>
        <w:rPr>
          <w:rFonts w:ascii="Times New Roman" w:hAnsi="Times New Roman"/>
          <w:color w:val="171717" w:themeColor="background2" w:themeShade="1A"/>
          <w:sz w:val="24"/>
          <w:szCs w:val="24"/>
        </w:rPr>
      </w:pPr>
      <w:r w:rsidRPr="00AA0EE1">
        <w:rPr>
          <w:rFonts w:ascii="Times New Roman" w:hAnsi="Times New Roman"/>
          <w:color w:val="171717" w:themeColor="background2" w:themeShade="1A"/>
          <w:sz w:val="24"/>
          <w:szCs w:val="24"/>
        </w:rPr>
        <w:t>Création des f</w:t>
      </w:r>
      <w:r w:rsidR="00B02744" w:rsidRPr="00AA0EE1">
        <w:rPr>
          <w:rFonts w:ascii="Times New Roman" w:hAnsi="Times New Roman"/>
          <w:color w:val="171717" w:themeColor="background2" w:themeShade="1A"/>
          <w:sz w:val="24"/>
          <w:szCs w:val="24"/>
        </w:rPr>
        <w:t xml:space="preserve">iches de rapprochement, sous format </w:t>
      </w:r>
      <w:r w:rsidRPr="00AA0EE1">
        <w:rPr>
          <w:rFonts w:ascii="Times New Roman" w:hAnsi="Times New Roman"/>
          <w:color w:val="171717" w:themeColor="background2" w:themeShade="1A"/>
          <w:sz w:val="24"/>
          <w:szCs w:val="24"/>
        </w:rPr>
        <w:t>Excel</w:t>
      </w:r>
      <w:r w:rsidR="00B02744" w:rsidRPr="00AA0EE1">
        <w:rPr>
          <w:rFonts w:ascii="Times New Roman" w:hAnsi="Times New Roman"/>
          <w:color w:val="171717" w:themeColor="background2" w:themeShade="1A"/>
          <w:sz w:val="24"/>
          <w:szCs w:val="24"/>
        </w:rPr>
        <w:t>, destinées à l’utilisation exclusive de l’Administrateur Indépendant.</w:t>
      </w:r>
    </w:p>
    <w:p w14:paraId="533C49AD" w14:textId="4E2BDAFE" w:rsidR="00B02744" w:rsidRPr="00AA0EE1" w:rsidRDefault="00AA0EE1" w:rsidP="00AA0EE1">
      <w:pPr>
        <w:pStyle w:val="Paragraphedeliste"/>
        <w:numPr>
          <w:ilvl w:val="0"/>
          <w:numId w:val="66"/>
        </w:numPr>
        <w:ind w:left="709"/>
        <w:jc w:val="both"/>
        <w:rPr>
          <w:rFonts w:ascii="Times New Roman" w:hAnsi="Times New Roman"/>
          <w:color w:val="1F4E79" w:themeColor="accent1" w:themeShade="80"/>
          <w:sz w:val="24"/>
          <w:szCs w:val="24"/>
        </w:rPr>
      </w:pPr>
      <w:r w:rsidRPr="00AA0EE1">
        <w:rPr>
          <w:rFonts w:ascii="Times New Roman" w:hAnsi="Times New Roman"/>
          <w:color w:val="171717" w:themeColor="background2" w:themeShade="1A"/>
          <w:sz w:val="24"/>
          <w:szCs w:val="24"/>
        </w:rPr>
        <w:t>Sensibilisation des parties prenantes pour harmoniser l’approche de calcul de la valeur de production et des exportations par les entreprises déclarantes.</w:t>
      </w:r>
    </w:p>
    <w:p w14:paraId="037D100E" w14:textId="6E343002" w:rsidR="00AA0EE1"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 xml:space="preserve">Extension du périmètre de déclaration par l’intégration </w:t>
      </w:r>
      <w:r w:rsidR="00AA0EE1">
        <w:rPr>
          <w:rFonts w:ascii="Times New Roman" w:hAnsi="Times New Roman"/>
          <w:color w:val="171717" w:themeColor="background2" w:themeShade="1A"/>
          <w:sz w:val="24"/>
          <w:szCs w:val="24"/>
        </w:rPr>
        <w:t xml:space="preserve">du nouveau flux </w:t>
      </w:r>
      <w:r>
        <w:rPr>
          <w:rFonts w:ascii="Times New Roman" w:hAnsi="Times New Roman"/>
          <w:color w:val="171717" w:themeColor="background2" w:themeShade="1A"/>
          <w:sz w:val="24"/>
          <w:szCs w:val="24"/>
        </w:rPr>
        <w:t>« Redevance Suivi de Change » encadré par la BCC</w:t>
      </w:r>
    </w:p>
    <w:p w14:paraId="475DA29D" w14:textId="2C4B9C9C" w:rsidR="00C416D8"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Amélioration des formulaires spécifiques de la SICOMINES, tenant compte de l’entrée de cette dernière en phase de production.</w:t>
      </w:r>
    </w:p>
    <w:p w14:paraId="0C485A9B" w14:textId="2DE22071" w:rsidR="00C416D8" w:rsidRPr="00C416D8" w:rsidRDefault="00C416D8" w:rsidP="00AA0EE1">
      <w:pPr>
        <w:pStyle w:val="Paragraphedeliste"/>
        <w:numPr>
          <w:ilvl w:val="0"/>
          <w:numId w:val="66"/>
        </w:numPr>
        <w:ind w:left="709"/>
        <w:jc w:val="both"/>
        <w:rPr>
          <w:rFonts w:ascii="Times New Roman" w:hAnsi="Times New Roman"/>
          <w:color w:val="1F4E79" w:themeColor="accent1" w:themeShade="80"/>
          <w:sz w:val="24"/>
          <w:szCs w:val="24"/>
        </w:rPr>
      </w:pPr>
      <w:r>
        <w:rPr>
          <w:rFonts w:ascii="Times New Roman" w:hAnsi="Times New Roman"/>
          <w:color w:val="171717" w:themeColor="background2" w:themeShade="1A"/>
          <w:sz w:val="24"/>
          <w:szCs w:val="24"/>
        </w:rPr>
        <w:t>Evaluation de la mise en œuvre des anciennes recommandations.</w:t>
      </w:r>
    </w:p>
    <w:p w14:paraId="29D38FAA" w14:textId="303E20CE" w:rsidR="00C416D8" w:rsidRPr="00C416D8" w:rsidRDefault="00C416D8" w:rsidP="00AA0EE1">
      <w:pPr>
        <w:pStyle w:val="Paragraphedeliste"/>
        <w:numPr>
          <w:ilvl w:val="0"/>
          <w:numId w:val="66"/>
        </w:numPr>
        <w:ind w:left="709"/>
        <w:jc w:val="both"/>
        <w:rPr>
          <w:rFonts w:ascii="Times New Roman" w:hAnsi="Times New Roman"/>
          <w:color w:val="171717" w:themeColor="background2" w:themeShade="1A"/>
          <w:sz w:val="24"/>
          <w:szCs w:val="24"/>
        </w:rPr>
      </w:pPr>
      <w:r w:rsidRPr="00C416D8">
        <w:rPr>
          <w:rFonts w:ascii="Times New Roman" w:hAnsi="Times New Roman"/>
          <w:color w:val="171717" w:themeColor="background2" w:themeShade="1A"/>
          <w:sz w:val="24"/>
          <w:szCs w:val="24"/>
        </w:rPr>
        <w:t>Sensibilisation des parties prenantes au respect des taux et de modalités de partage des recettes issues du secteur extractif</w:t>
      </w:r>
    </w:p>
    <w:p w14:paraId="240EB791" w14:textId="77777777" w:rsidR="00DA0327" w:rsidRDefault="00DA0327" w:rsidP="00DA0327">
      <w:pPr>
        <w:pStyle w:val="Paragraphedeliste"/>
        <w:jc w:val="both"/>
        <w:rPr>
          <w:rFonts w:ascii="Times New Roman" w:hAnsi="Times New Roman"/>
          <w:sz w:val="24"/>
          <w:szCs w:val="24"/>
        </w:rPr>
      </w:pPr>
    </w:p>
    <w:p w14:paraId="047B4BB3" w14:textId="75F959D3" w:rsidR="0031567B" w:rsidRDefault="0031567B" w:rsidP="0031567B">
      <w:pPr>
        <w:pStyle w:val="Paragraphedeliste"/>
        <w:numPr>
          <w:ilvl w:val="0"/>
          <w:numId w:val="42"/>
        </w:numPr>
        <w:ind w:left="426"/>
        <w:jc w:val="both"/>
        <w:rPr>
          <w:rFonts w:ascii="Times New Roman" w:hAnsi="Times New Roman"/>
          <w:b/>
          <w:color w:val="1F4E79" w:themeColor="accent1" w:themeShade="80"/>
          <w:sz w:val="24"/>
          <w:szCs w:val="24"/>
          <w:u w:val="single"/>
        </w:rPr>
      </w:pPr>
      <w:r w:rsidRPr="0031567B">
        <w:rPr>
          <w:rFonts w:ascii="Times New Roman" w:hAnsi="Times New Roman"/>
          <w:b/>
          <w:color w:val="1F4E79" w:themeColor="accent1" w:themeShade="80"/>
          <w:sz w:val="24"/>
          <w:szCs w:val="24"/>
          <w:u w:val="single"/>
        </w:rPr>
        <w:t>Recommandations en cours d’exécution</w:t>
      </w:r>
    </w:p>
    <w:p w14:paraId="6BB65383" w14:textId="421276C9" w:rsidR="0031567B" w:rsidRPr="0031567B" w:rsidRDefault="0031567B" w:rsidP="0031567B">
      <w:pPr>
        <w:pStyle w:val="Paragraphedeliste"/>
        <w:numPr>
          <w:ilvl w:val="1"/>
          <w:numId w:val="36"/>
        </w:numPr>
        <w:ind w:left="709"/>
        <w:jc w:val="both"/>
        <w:rPr>
          <w:rFonts w:ascii="Times New Roman" w:hAnsi="Times New Roman"/>
          <w:b/>
          <w:color w:val="1F4E79" w:themeColor="accent1" w:themeShade="80"/>
          <w:sz w:val="24"/>
          <w:szCs w:val="24"/>
          <w:u w:val="single"/>
        </w:rPr>
      </w:pPr>
      <w:r w:rsidRPr="0031567B">
        <w:rPr>
          <w:rFonts w:ascii="Times New Roman" w:hAnsi="Times New Roman"/>
          <w:color w:val="171717" w:themeColor="background2" w:themeShade="1A"/>
          <w:sz w:val="24"/>
          <w:szCs w:val="24"/>
        </w:rPr>
        <w:t>Renforcement de la transparence des transactions financières des EPE</w:t>
      </w:r>
      <w:r w:rsidR="00D337BE">
        <w:rPr>
          <w:rFonts w:ascii="Times New Roman" w:hAnsi="Times New Roman"/>
          <w:color w:val="171717" w:themeColor="background2" w:themeShade="1A"/>
          <w:sz w:val="24"/>
          <w:szCs w:val="24"/>
        </w:rPr>
        <w:t> ;</w:t>
      </w:r>
    </w:p>
    <w:p w14:paraId="5ADC1EB2" w14:textId="659842F0" w:rsidR="0031567B" w:rsidRPr="0031567B" w:rsidRDefault="0031567B" w:rsidP="0031567B">
      <w:pPr>
        <w:pStyle w:val="Paragraphedeliste"/>
        <w:numPr>
          <w:ilvl w:val="1"/>
          <w:numId w:val="36"/>
        </w:numPr>
        <w:ind w:left="709"/>
        <w:jc w:val="both"/>
        <w:rPr>
          <w:rFonts w:ascii="Times New Roman" w:hAnsi="Times New Roman"/>
          <w:b/>
          <w:color w:val="1F4E79" w:themeColor="accent1" w:themeShade="80"/>
          <w:sz w:val="24"/>
          <w:szCs w:val="24"/>
          <w:u w:val="single"/>
        </w:rPr>
      </w:pPr>
      <w:r>
        <w:rPr>
          <w:rFonts w:ascii="Times New Roman" w:hAnsi="Times New Roman"/>
          <w:color w:val="171717" w:themeColor="background2" w:themeShade="1A"/>
          <w:sz w:val="24"/>
          <w:szCs w:val="24"/>
        </w:rPr>
        <w:t>Respect de la clé de répartition des recettes de participation (pas-de-porte, cession d’actif et royalties) à partager entre le Gouvernement et les EPE</w:t>
      </w:r>
      <w:r w:rsidR="00D337BE">
        <w:rPr>
          <w:rFonts w:ascii="Times New Roman" w:hAnsi="Times New Roman"/>
          <w:color w:val="171717" w:themeColor="background2" w:themeShade="1A"/>
          <w:sz w:val="24"/>
          <w:szCs w:val="24"/>
        </w:rPr>
        <w:t> ;</w:t>
      </w:r>
    </w:p>
    <w:p w14:paraId="0E47CDA5" w14:textId="2D3D1F18" w:rsidR="0031567B" w:rsidRDefault="00236B69" w:rsidP="0031567B">
      <w:pPr>
        <w:pStyle w:val="Paragraphedeliste"/>
        <w:numPr>
          <w:ilvl w:val="1"/>
          <w:numId w:val="36"/>
        </w:numPr>
        <w:ind w:left="709"/>
        <w:jc w:val="both"/>
        <w:rPr>
          <w:rFonts w:ascii="Times New Roman" w:hAnsi="Times New Roman"/>
          <w:color w:val="171717" w:themeColor="background2" w:themeShade="1A"/>
          <w:sz w:val="24"/>
          <w:szCs w:val="24"/>
        </w:rPr>
      </w:pPr>
      <w:r w:rsidRPr="00236B69">
        <w:rPr>
          <w:rFonts w:ascii="Times New Roman" w:hAnsi="Times New Roman"/>
          <w:color w:val="171717" w:themeColor="background2" w:themeShade="1A"/>
          <w:sz w:val="24"/>
          <w:szCs w:val="24"/>
        </w:rPr>
        <w:t>Transparence des opérations des prêts et garanties accordés par les EPE</w:t>
      </w:r>
      <w:r w:rsidR="00524E02">
        <w:rPr>
          <w:rFonts w:ascii="Times New Roman" w:hAnsi="Times New Roman"/>
          <w:color w:val="171717" w:themeColor="background2" w:themeShade="1A"/>
          <w:sz w:val="24"/>
          <w:szCs w:val="24"/>
        </w:rPr>
        <w:t xml:space="preserve"> et la publication de leurs états financiers</w:t>
      </w:r>
      <w:r w:rsidR="00D337BE">
        <w:rPr>
          <w:rFonts w:ascii="Times New Roman" w:hAnsi="Times New Roman"/>
          <w:color w:val="171717" w:themeColor="background2" w:themeShade="1A"/>
          <w:sz w:val="24"/>
          <w:szCs w:val="24"/>
        </w:rPr>
        <w:t> ;</w:t>
      </w:r>
    </w:p>
    <w:p w14:paraId="72BC4350" w14:textId="546719EE" w:rsidR="00236B69" w:rsidRDefault="00524E02"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Respect du décret portant obligation de publication des contrats relatifs aux ressources naturelles</w:t>
      </w:r>
      <w:r w:rsidR="00D337BE">
        <w:rPr>
          <w:rFonts w:ascii="Times New Roman" w:hAnsi="Times New Roman"/>
          <w:color w:val="171717" w:themeColor="background2" w:themeShade="1A"/>
          <w:sz w:val="24"/>
          <w:szCs w:val="24"/>
        </w:rPr>
        <w:t> ;</w:t>
      </w:r>
      <w:r>
        <w:rPr>
          <w:rFonts w:ascii="Times New Roman" w:hAnsi="Times New Roman"/>
          <w:color w:val="171717" w:themeColor="background2" w:themeShade="1A"/>
          <w:sz w:val="24"/>
          <w:szCs w:val="24"/>
        </w:rPr>
        <w:t xml:space="preserve"> </w:t>
      </w:r>
    </w:p>
    <w:p w14:paraId="1C64FCDA" w14:textId="652FCAF7" w:rsidR="00AB6D08"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Amélioration de la gestion et de l’organisation des registres minier et pétrolier </w:t>
      </w:r>
      <w:r w:rsidR="00AC6E67">
        <w:rPr>
          <w:rFonts w:ascii="Times New Roman" w:hAnsi="Times New Roman"/>
          <w:color w:val="171717" w:themeColor="background2" w:themeShade="1A"/>
          <w:sz w:val="24"/>
          <w:szCs w:val="24"/>
        </w:rPr>
        <w:t>(englobe deux recommandations)</w:t>
      </w:r>
      <w:r>
        <w:rPr>
          <w:rFonts w:ascii="Times New Roman" w:hAnsi="Times New Roman"/>
          <w:color w:val="171717" w:themeColor="background2" w:themeShade="1A"/>
          <w:sz w:val="24"/>
          <w:szCs w:val="24"/>
        </w:rPr>
        <w:t>;</w:t>
      </w:r>
    </w:p>
    <w:p w14:paraId="5963C998" w14:textId="6E33FBFD" w:rsidR="00D337BE"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Mise en place du mécanisme de suivi et de traçabilité des dépenses sociales ;</w:t>
      </w:r>
    </w:p>
    <w:p w14:paraId="5B570DF2" w14:textId="4CF9447A" w:rsidR="00D337BE" w:rsidRDefault="00D337BE"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Mise en ligne du registre de permis pétrolier ;</w:t>
      </w:r>
    </w:p>
    <w:p w14:paraId="09C57901" w14:textId="63B35CA4" w:rsidR="00D337BE" w:rsidRDefault="00AC6E67"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lastRenderedPageBreak/>
        <w:t>Respect des recommandations de l’IGF par les régies financières et la BCC ;</w:t>
      </w:r>
    </w:p>
    <w:p w14:paraId="72F5FDC1" w14:textId="56EE9098" w:rsidR="00AC6E67" w:rsidRDefault="00AC6E67" w:rsidP="0031567B">
      <w:pPr>
        <w:pStyle w:val="Paragraphedeliste"/>
        <w:numPr>
          <w:ilvl w:val="1"/>
          <w:numId w:val="36"/>
        </w:numPr>
        <w:ind w:left="709"/>
        <w:jc w:val="both"/>
        <w:rPr>
          <w:rFonts w:ascii="Times New Roman" w:hAnsi="Times New Roman"/>
          <w:color w:val="171717" w:themeColor="background2" w:themeShade="1A"/>
          <w:sz w:val="24"/>
          <w:szCs w:val="24"/>
        </w:rPr>
      </w:pPr>
      <w:r>
        <w:rPr>
          <w:rFonts w:ascii="Times New Roman" w:hAnsi="Times New Roman"/>
          <w:color w:val="171717" w:themeColor="background2" w:themeShade="1A"/>
          <w:sz w:val="24"/>
          <w:szCs w:val="24"/>
        </w:rPr>
        <w:t>Respect du circuit normal de recouvrement des recettes en passant par les Régies Financières de l’Etat et non par le versement direct à la BCC.</w:t>
      </w:r>
    </w:p>
    <w:p w14:paraId="758A5512" w14:textId="192DF734" w:rsidR="00AC6E67" w:rsidRDefault="00AC6E67" w:rsidP="00AD52F6">
      <w:pPr>
        <w:pStyle w:val="Paragraphedeliste"/>
        <w:numPr>
          <w:ilvl w:val="0"/>
          <w:numId w:val="42"/>
        </w:numPr>
        <w:spacing w:line="360" w:lineRule="auto"/>
        <w:ind w:left="426"/>
        <w:jc w:val="both"/>
        <w:rPr>
          <w:rFonts w:ascii="Times New Roman" w:hAnsi="Times New Roman"/>
          <w:b/>
          <w:color w:val="1F4E79" w:themeColor="accent1" w:themeShade="80"/>
          <w:sz w:val="24"/>
          <w:szCs w:val="24"/>
          <w:u w:val="single"/>
        </w:rPr>
      </w:pPr>
      <w:r w:rsidRPr="00AC6E67">
        <w:rPr>
          <w:rFonts w:ascii="Times New Roman" w:hAnsi="Times New Roman"/>
          <w:b/>
          <w:color w:val="1F4E79" w:themeColor="accent1" w:themeShade="80"/>
          <w:sz w:val="24"/>
          <w:szCs w:val="24"/>
          <w:u w:val="single"/>
        </w:rPr>
        <w:t>Recommandation non applicable</w:t>
      </w:r>
    </w:p>
    <w:p w14:paraId="0F36551B" w14:textId="1198F91D" w:rsidR="00AC6E67" w:rsidRPr="00AD52F6" w:rsidRDefault="00AC6E67" w:rsidP="00AC6E67">
      <w:pPr>
        <w:pStyle w:val="Paragraphedeliste"/>
        <w:ind w:left="426"/>
        <w:jc w:val="both"/>
        <w:rPr>
          <w:rFonts w:ascii="Times New Roman" w:eastAsia="Calibri" w:hAnsi="Times New Roman" w:cs="Times New Roman"/>
          <w:sz w:val="24"/>
          <w:szCs w:val="24"/>
        </w:rPr>
      </w:pPr>
      <w:r w:rsidRPr="00AD52F6">
        <w:rPr>
          <w:rFonts w:ascii="Times New Roman" w:hAnsi="Times New Roman"/>
          <w:color w:val="171717" w:themeColor="background2" w:themeShade="1A"/>
          <w:sz w:val="24"/>
          <w:szCs w:val="24"/>
        </w:rPr>
        <w:t>Création d’une base</w:t>
      </w:r>
      <w:r w:rsidR="00AD52F6">
        <w:rPr>
          <w:rFonts w:ascii="Times New Roman" w:hAnsi="Times New Roman"/>
          <w:color w:val="171717" w:themeColor="background2" w:themeShade="1A"/>
          <w:sz w:val="24"/>
          <w:szCs w:val="24"/>
        </w:rPr>
        <w:t xml:space="preserve"> </w:t>
      </w:r>
      <w:r w:rsidRPr="00AD52F6">
        <w:rPr>
          <w:rFonts w:ascii="Times New Roman" w:hAnsi="Times New Roman"/>
          <w:color w:val="171717" w:themeColor="background2" w:themeShade="1A"/>
          <w:sz w:val="24"/>
          <w:szCs w:val="24"/>
        </w:rPr>
        <w:t xml:space="preserve">des données </w:t>
      </w:r>
      <w:r w:rsidR="00AD52F6">
        <w:rPr>
          <w:rFonts w:ascii="Times New Roman" w:hAnsi="Times New Roman"/>
          <w:color w:val="171717" w:themeColor="background2" w:themeShade="1A"/>
          <w:sz w:val="24"/>
          <w:szCs w:val="24"/>
        </w:rPr>
        <w:t>unique</w:t>
      </w:r>
      <w:r w:rsidR="00AD52F6" w:rsidRPr="00AD52F6">
        <w:rPr>
          <w:rFonts w:ascii="Times New Roman" w:hAnsi="Times New Roman"/>
          <w:color w:val="171717" w:themeColor="background2" w:themeShade="1A"/>
          <w:sz w:val="24"/>
          <w:szCs w:val="24"/>
        </w:rPr>
        <w:t xml:space="preserve"> </w:t>
      </w:r>
      <w:r w:rsidRPr="00AD52F6">
        <w:rPr>
          <w:rFonts w:ascii="Times New Roman" w:hAnsi="Times New Roman"/>
          <w:color w:val="171717" w:themeColor="background2" w:themeShade="1A"/>
          <w:sz w:val="24"/>
          <w:szCs w:val="24"/>
        </w:rPr>
        <w:t>des informations</w:t>
      </w:r>
      <w:r w:rsidR="00AD52F6" w:rsidRPr="00AD52F6">
        <w:rPr>
          <w:rFonts w:ascii="Times New Roman" w:eastAsia="Calibri" w:hAnsi="Times New Roman" w:cs="Times New Roman"/>
          <w:color w:val="171717" w:themeColor="background2" w:themeShade="1A"/>
          <w:sz w:val="24"/>
          <w:szCs w:val="24"/>
        </w:rPr>
        <w:t xml:space="preserve"> du secteur extractif</w:t>
      </w:r>
      <w:r w:rsidR="00AD52F6">
        <w:rPr>
          <w:rFonts w:ascii="Times New Roman" w:eastAsia="Calibri" w:hAnsi="Times New Roman" w:cs="Times New Roman"/>
          <w:color w:val="171717" w:themeColor="background2" w:themeShade="1A"/>
          <w:sz w:val="24"/>
          <w:szCs w:val="24"/>
        </w:rPr>
        <w:t>.</w:t>
      </w:r>
      <w:r w:rsidRPr="00AD52F6">
        <w:rPr>
          <w:rFonts w:ascii="Times New Roman" w:eastAsia="Calibri" w:hAnsi="Times New Roman" w:cs="Times New Roman"/>
          <w:sz w:val="24"/>
          <w:szCs w:val="24"/>
        </w:rPr>
        <w:t xml:space="preserve"> </w:t>
      </w:r>
    </w:p>
    <w:p w14:paraId="3CACA2A8" w14:textId="77777777" w:rsidR="00F000B0" w:rsidRDefault="00F000B0" w:rsidP="00F000B0">
      <w:pPr>
        <w:ind w:left="142"/>
        <w:jc w:val="both"/>
        <w:rPr>
          <w:rFonts w:ascii="Times New Roman" w:hAnsi="Times New Roman"/>
          <w:sz w:val="24"/>
          <w:szCs w:val="24"/>
        </w:rPr>
      </w:pPr>
      <w:r w:rsidRPr="00F774F1">
        <w:rPr>
          <w:rFonts w:ascii="Times New Roman" w:hAnsi="Times New Roman"/>
          <w:sz w:val="24"/>
          <w:szCs w:val="24"/>
        </w:rPr>
        <w:t>Le document d’évaluation issu de cet atelier peut être consulté sur le site de l’ITIE-RDC</w:t>
      </w:r>
      <w:r>
        <w:rPr>
          <w:rStyle w:val="Appelnotedebasdep"/>
          <w:rFonts w:ascii="Times New Roman" w:hAnsi="Times New Roman"/>
          <w:sz w:val="24"/>
          <w:szCs w:val="24"/>
        </w:rPr>
        <w:footnoteReference w:id="36"/>
      </w:r>
      <w:r w:rsidRPr="00F774F1">
        <w:rPr>
          <w:rFonts w:ascii="Times New Roman" w:hAnsi="Times New Roman"/>
          <w:sz w:val="24"/>
          <w:szCs w:val="24"/>
        </w:rPr>
        <w:t>.</w:t>
      </w:r>
      <w:r>
        <w:rPr>
          <w:rFonts w:ascii="Times New Roman" w:hAnsi="Times New Roman"/>
          <w:sz w:val="24"/>
          <w:szCs w:val="24"/>
        </w:rPr>
        <w:t xml:space="preserve"> </w:t>
      </w:r>
    </w:p>
    <w:p w14:paraId="64F198B5" w14:textId="0239C243" w:rsidR="00E4464E" w:rsidRDefault="00F000B0" w:rsidP="004C1B83">
      <w:pPr>
        <w:ind w:left="142"/>
        <w:jc w:val="both"/>
        <w:rPr>
          <w:rFonts w:ascii="Times New Roman" w:hAnsi="Times New Roman"/>
          <w:sz w:val="24"/>
          <w:szCs w:val="24"/>
        </w:rPr>
      </w:pPr>
      <w:r>
        <w:rPr>
          <w:rFonts w:ascii="Times New Roman" w:hAnsi="Times New Roman"/>
          <w:sz w:val="24"/>
          <w:szCs w:val="24"/>
        </w:rPr>
        <w:t>Par ailleurs, i</w:t>
      </w:r>
      <w:r w:rsidRPr="00B7223E">
        <w:rPr>
          <w:rFonts w:ascii="Times New Roman" w:hAnsi="Times New Roman"/>
          <w:sz w:val="24"/>
          <w:szCs w:val="24"/>
        </w:rPr>
        <w:t xml:space="preserve">l </w:t>
      </w:r>
      <w:r>
        <w:rPr>
          <w:rFonts w:ascii="Times New Roman" w:hAnsi="Times New Roman"/>
          <w:sz w:val="24"/>
          <w:szCs w:val="24"/>
        </w:rPr>
        <w:t>sied de faire remarquer</w:t>
      </w:r>
      <w:r w:rsidRPr="00B7223E">
        <w:rPr>
          <w:rFonts w:ascii="Times New Roman" w:hAnsi="Times New Roman"/>
          <w:sz w:val="24"/>
          <w:szCs w:val="24"/>
        </w:rPr>
        <w:t xml:space="preserve"> que la majeure partie des recommandations portent sur des questions qui impactent directement l</w:t>
      </w:r>
      <w:r>
        <w:rPr>
          <w:rFonts w:ascii="Times New Roman" w:hAnsi="Times New Roman"/>
          <w:sz w:val="24"/>
          <w:szCs w:val="24"/>
        </w:rPr>
        <w:t xml:space="preserve">a gestion du secteur extractif que sur celles relatives </w:t>
      </w:r>
      <w:r w:rsidRPr="00B7223E">
        <w:rPr>
          <w:rFonts w:ascii="Times New Roman" w:hAnsi="Times New Roman"/>
          <w:sz w:val="24"/>
          <w:szCs w:val="24"/>
        </w:rPr>
        <w:t>à  l’amélioration des aspects techniques du processus de déclaration ITIE.</w:t>
      </w:r>
    </w:p>
    <w:p w14:paraId="0C706D37" w14:textId="77777777" w:rsidR="004735E0" w:rsidRDefault="004735E0" w:rsidP="004C1B83">
      <w:pPr>
        <w:ind w:left="142"/>
        <w:jc w:val="both"/>
        <w:rPr>
          <w:rFonts w:ascii="Times New Roman" w:hAnsi="Times New Roman"/>
          <w:sz w:val="24"/>
          <w:szCs w:val="24"/>
        </w:rPr>
      </w:pPr>
    </w:p>
    <w:p w14:paraId="501A9A6A" w14:textId="77777777" w:rsidR="004735E0" w:rsidRDefault="004735E0" w:rsidP="004C1B83">
      <w:pPr>
        <w:ind w:left="142"/>
        <w:jc w:val="both"/>
        <w:rPr>
          <w:rFonts w:ascii="Times New Roman" w:hAnsi="Times New Roman"/>
          <w:sz w:val="24"/>
          <w:szCs w:val="24"/>
        </w:rPr>
      </w:pPr>
    </w:p>
    <w:p w14:paraId="27A2C0A2" w14:textId="77777777" w:rsidR="004735E0" w:rsidRDefault="004735E0" w:rsidP="004C1B83">
      <w:pPr>
        <w:ind w:left="142"/>
        <w:jc w:val="both"/>
        <w:rPr>
          <w:rFonts w:ascii="Times New Roman" w:hAnsi="Times New Roman"/>
          <w:sz w:val="24"/>
          <w:szCs w:val="24"/>
        </w:rPr>
      </w:pPr>
    </w:p>
    <w:p w14:paraId="29C4BE73" w14:textId="77777777" w:rsidR="004735E0" w:rsidRDefault="004735E0" w:rsidP="004C1B83">
      <w:pPr>
        <w:ind w:left="142"/>
        <w:jc w:val="both"/>
        <w:rPr>
          <w:rFonts w:ascii="Times New Roman" w:hAnsi="Times New Roman"/>
          <w:sz w:val="24"/>
          <w:szCs w:val="24"/>
        </w:rPr>
      </w:pPr>
    </w:p>
    <w:p w14:paraId="7BCB1312" w14:textId="77777777" w:rsidR="004735E0" w:rsidRDefault="004735E0" w:rsidP="004C1B83">
      <w:pPr>
        <w:ind w:left="142"/>
        <w:jc w:val="both"/>
        <w:rPr>
          <w:rFonts w:ascii="Times New Roman" w:hAnsi="Times New Roman"/>
          <w:sz w:val="24"/>
          <w:szCs w:val="24"/>
        </w:rPr>
      </w:pPr>
    </w:p>
    <w:p w14:paraId="38A79CD0" w14:textId="77777777" w:rsidR="004735E0" w:rsidRDefault="004735E0" w:rsidP="004C1B83">
      <w:pPr>
        <w:ind w:left="142"/>
        <w:jc w:val="both"/>
        <w:rPr>
          <w:rFonts w:ascii="Times New Roman" w:hAnsi="Times New Roman"/>
          <w:sz w:val="24"/>
          <w:szCs w:val="24"/>
        </w:rPr>
      </w:pPr>
    </w:p>
    <w:p w14:paraId="1137BA65" w14:textId="77777777" w:rsidR="004735E0" w:rsidRDefault="004735E0" w:rsidP="004C1B83">
      <w:pPr>
        <w:ind w:left="142"/>
        <w:jc w:val="both"/>
        <w:rPr>
          <w:rFonts w:ascii="Times New Roman" w:hAnsi="Times New Roman"/>
          <w:sz w:val="24"/>
          <w:szCs w:val="24"/>
        </w:rPr>
      </w:pPr>
    </w:p>
    <w:p w14:paraId="21F67E93" w14:textId="77777777" w:rsidR="004735E0" w:rsidRDefault="004735E0" w:rsidP="004C1B83">
      <w:pPr>
        <w:ind w:left="142"/>
        <w:jc w:val="both"/>
        <w:rPr>
          <w:rFonts w:ascii="Times New Roman" w:hAnsi="Times New Roman"/>
          <w:sz w:val="24"/>
          <w:szCs w:val="24"/>
        </w:rPr>
      </w:pPr>
    </w:p>
    <w:p w14:paraId="086284A1" w14:textId="77777777" w:rsidR="004735E0" w:rsidRDefault="004735E0" w:rsidP="004C1B83">
      <w:pPr>
        <w:ind w:left="142"/>
        <w:jc w:val="both"/>
        <w:rPr>
          <w:rFonts w:ascii="Times New Roman" w:hAnsi="Times New Roman"/>
          <w:sz w:val="24"/>
          <w:szCs w:val="24"/>
        </w:rPr>
      </w:pPr>
    </w:p>
    <w:p w14:paraId="4686C2F2" w14:textId="77777777" w:rsidR="004735E0" w:rsidRDefault="004735E0" w:rsidP="004C1B83">
      <w:pPr>
        <w:ind w:left="142"/>
        <w:jc w:val="both"/>
        <w:rPr>
          <w:rFonts w:ascii="Times New Roman" w:hAnsi="Times New Roman"/>
          <w:sz w:val="24"/>
          <w:szCs w:val="24"/>
        </w:rPr>
      </w:pPr>
    </w:p>
    <w:p w14:paraId="3AF18911" w14:textId="77777777" w:rsidR="004735E0" w:rsidRDefault="004735E0" w:rsidP="004C1B83">
      <w:pPr>
        <w:ind w:left="142"/>
        <w:jc w:val="both"/>
        <w:rPr>
          <w:rFonts w:ascii="Times New Roman" w:hAnsi="Times New Roman"/>
          <w:sz w:val="24"/>
          <w:szCs w:val="24"/>
        </w:rPr>
      </w:pPr>
    </w:p>
    <w:p w14:paraId="5F243222" w14:textId="77777777" w:rsidR="004735E0" w:rsidRDefault="004735E0" w:rsidP="004C1B83">
      <w:pPr>
        <w:ind w:left="142"/>
        <w:jc w:val="both"/>
        <w:rPr>
          <w:rFonts w:ascii="Times New Roman" w:hAnsi="Times New Roman"/>
          <w:sz w:val="24"/>
          <w:szCs w:val="24"/>
        </w:rPr>
      </w:pPr>
    </w:p>
    <w:p w14:paraId="0AA41DD8" w14:textId="77777777" w:rsidR="004735E0" w:rsidRDefault="004735E0" w:rsidP="004C1B83">
      <w:pPr>
        <w:ind w:left="142"/>
        <w:jc w:val="both"/>
        <w:rPr>
          <w:rFonts w:ascii="Times New Roman" w:hAnsi="Times New Roman"/>
          <w:sz w:val="24"/>
          <w:szCs w:val="24"/>
        </w:rPr>
      </w:pPr>
    </w:p>
    <w:p w14:paraId="551992A0" w14:textId="77777777" w:rsidR="004735E0" w:rsidRDefault="004735E0" w:rsidP="004C1B83">
      <w:pPr>
        <w:ind w:left="142"/>
        <w:jc w:val="both"/>
        <w:rPr>
          <w:rFonts w:ascii="Times New Roman" w:hAnsi="Times New Roman"/>
          <w:sz w:val="24"/>
          <w:szCs w:val="24"/>
        </w:rPr>
      </w:pPr>
    </w:p>
    <w:p w14:paraId="511AF5F1" w14:textId="77777777" w:rsidR="004735E0" w:rsidRDefault="004735E0" w:rsidP="004C1B83">
      <w:pPr>
        <w:ind w:left="142"/>
        <w:jc w:val="both"/>
        <w:rPr>
          <w:rFonts w:ascii="Times New Roman" w:hAnsi="Times New Roman"/>
          <w:sz w:val="24"/>
          <w:szCs w:val="24"/>
        </w:rPr>
      </w:pPr>
    </w:p>
    <w:p w14:paraId="1259F505" w14:textId="77777777" w:rsidR="004735E0" w:rsidRDefault="004735E0" w:rsidP="004C1B83">
      <w:pPr>
        <w:ind w:left="142"/>
        <w:jc w:val="both"/>
        <w:rPr>
          <w:rFonts w:ascii="Times New Roman" w:hAnsi="Times New Roman"/>
          <w:sz w:val="24"/>
          <w:szCs w:val="24"/>
        </w:rPr>
      </w:pPr>
    </w:p>
    <w:p w14:paraId="20198BD2" w14:textId="77777777" w:rsidR="004735E0" w:rsidRDefault="004735E0" w:rsidP="004C1B83">
      <w:pPr>
        <w:ind w:left="142"/>
        <w:jc w:val="both"/>
        <w:rPr>
          <w:rFonts w:ascii="Times New Roman" w:hAnsi="Times New Roman"/>
          <w:sz w:val="24"/>
          <w:szCs w:val="24"/>
        </w:rPr>
      </w:pPr>
    </w:p>
    <w:p w14:paraId="0F15CA50" w14:textId="77777777" w:rsidR="004735E0" w:rsidRDefault="004735E0" w:rsidP="004C1B83">
      <w:pPr>
        <w:ind w:left="142"/>
        <w:jc w:val="both"/>
        <w:rPr>
          <w:rFonts w:ascii="Times New Roman" w:hAnsi="Times New Roman"/>
          <w:sz w:val="24"/>
          <w:szCs w:val="24"/>
        </w:rPr>
      </w:pPr>
    </w:p>
    <w:p w14:paraId="51FF1C6E" w14:textId="77777777" w:rsidR="004735E0" w:rsidRDefault="004735E0" w:rsidP="004C1B83">
      <w:pPr>
        <w:ind w:left="142"/>
        <w:jc w:val="both"/>
        <w:rPr>
          <w:rFonts w:ascii="Times New Roman" w:hAnsi="Times New Roman"/>
          <w:sz w:val="24"/>
          <w:szCs w:val="24"/>
        </w:rPr>
      </w:pPr>
    </w:p>
    <w:p w14:paraId="42F278BC" w14:textId="77777777" w:rsidR="004735E0" w:rsidRDefault="004735E0" w:rsidP="004C1B83">
      <w:pPr>
        <w:ind w:left="142"/>
        <w:jc w:val="both"/>
        <w:rPr>
          <w:rFonts w:ascii="Times New Roman" w:hAnsi="Times New Roman"/>
          <w:sz w:val="24"/>
          <w:szCs w:val="24"/>
        </w:rPr>
      </w:pPr>
    </w:p>
    <w:p w14:paraId="6B0E96CA" w14:textId="74B5E940" w:rsidR="004735E0" w:rsidRDefault="008A7C18" w:rsidP="004C1B83">
      <w:pPr>
        <w:ind w:left="142"/>
        <w:jc w:val="both"/>
      </w:pPr>
      <w:r>
        <w:lastRenderedPageBreak/>
        <w:t xml:space="preserve">                                                                                                                                                                                                                                    </w:t>
      </w:r>
    </w:p>
    <w:p w14:paraId="6092073F" w14:textId="77777777" w:rsidR="008A7C18" w:rsidRDefault="008A7C18" w:rsidP="004C1B83">
      <w:pPr>
        <w:ind w:left="142"/>
        <w:jc w:val="both"/>
      </w:pPr>
    </w:p>
    <w:p w14:paraId="1CB10B01" w14:textId="77777777" w:rsidR="008A7C18" w:rsidRDefault="008A7C18" w:rsidP="004C1B83">
      <w:pPr>
        <w:ind w:left="142"/>
        <w:jc w:val="both"/>
      </w:pPr>
    </w:p>
    <w:p w14:paraId="4EFFD7CA" w14:textId="77777777" w:rsidR="008A7C18" w:rsidRDefault="008A7C18" w:rsidP="004C1B83">
      <w:pPr>
        <w:ind w:left="142"/>
        <w:jc w:val="both"/>
      </w:pPr>
    </w:p>
    <w:p w14:paraId="48064396" w14:textId="72966DB5" w:rsidR="008A7C18" w:rsidRDefault="008A7C18" w:rsidP="004C1B83">
      <w:pPr>
        <w:ind w:left="142"/>
        <w:jc w:val="both"/>
      </w:pPr>
    </w:p>
    <w:p w14:paraId="335BBE37" w14:textId="7CBBE9FE" w:rsidR="008A7C18" w:rsidRDefault="008A7C18" w:rsidP="004C1B83">
      <w:pPr>
        <w:ind w:left="142"/>
        <w:jc w:val="both"/>
      </w:pPr>
    </w:p>
    <w:p w14:paraId="619D0CF5" w14:textId="0718AC84" w:rsidR="008A7C18" w:rsidRDefault="008A7C18" w:rsidP="004C1B83">
      <w:pPr>
        <w:ind w:left="142"/>
        <w:jc w:val="both"/>
      </w:pPr>
    </w:p>
    <w:p w14:paraId="6107100F" w14:textId="45A75017" w:rsidR="008A7C18" w:rsidRDefault="008A7C18" w:rsidP="004C1B83">
      <w:pPr>
        <w:ind w:left="142"/>
        <w:jc w:val="both"/>
      </w:pPr>
    </w:p>
    <w:p w14:paraId="66FFEF5B" w14:textId="3EB8554D" w:rsidR="008A7C18" w:rsidRDefault="008A7C18" w:rsidP="004C1B83">
      <w:pPr>
        <w:ind w:left="142"/>
        <w:jc w:val="both"/>
      </w:pPr>
      <w:r>
        <w:rPr>
          <w:noProof/>
          <w:lang w:eastAsia="fr-FR"/>
        </w:rPr>
        <mc:AlternateContent>
          <mc:Choice Requires="wps">
            <w:drawing>
              <wp:anchor distT="0" distB="0" distL="114300" distR="114300" simplePos="0" relativeHeight="251686912" behindDoc="0" locked="0" layoutInCell="1" allowOverlap="1" wp14:anchorId="77B2324B" wp14:editId="0D6FB6F8">
                <wp:simplePos x="0" y="0"/>
                <wp:positionH relativeFrom="page">
                  <wp:align>center</wp:align>
                </wp:positionH>
                <wp:positionV relativeFrom="paragraph">
                  <wp:posOffset>265430</wp:posOffset>
                </wp:positionV>
                <wp:extent cx="3714750" cy="1828800"/>
                <wp:effectExtent l="0" t="0" r="0" b="0"/>
                <wp:wrapNone/>
                <wp:docPr id="27" name="Zone de texte 27"/>
                <wp:cNvGraphicFramePr/>
                <a:graphic xmlns:a="http://schemas.openxmlformats.org/drawingml/2006/main">
                  <a:graphicData uri="http://schemas.microsoft.com/office/word/2010/wordprocessingShape">
                    <wps:wsp>
                      <wps:cNvSpPr txBox="1"/>
                      <wps:spPr>
                        <a:xfrm>
                          <a:off x="0" y="0"/>
                          <a:ext cx="3714750" cy="1828800"/>
                        </a:xfrm>
                        <a:prstGeom prst="rect">
                          <a:avLst/>
                        </a:prstGeom>
                        <a:noFill/>
                        <a:ln>
                          <a:noFill/>
                        </a:ln>
                        <a:effectLst/>
                      </wps:spPr>
                      <wps:txbx>
                        <w:txbxContent>
                          <w:p w14:paraId="5DEFD4EF" w14:textId="0B3ABD4A" w:rsidR="00553BF2" w:rsidRPr="00DB6AFC" w:rsidRDefault="00553BF2" w:rsidP="00E357DF">
                            <w:pPr>
                              <w:ind w:left="142"/>
                              <w:jc w:val="cente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proofErr w:type="spellEnd"/>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x</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B2324B" id="Zone de texte 27" o:spid="_x0000_s1042" type="#_x0000_t202" style="position:absolute;left:0;text-align:left;margin-left:0;margin-top:20.9pt;width:292.5pt;height:2in;z-index:25168691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" filled="f" stroked="f">
                <v:textbox style="mso-fit-shape-to-text:t">
                  <w:txbxContent>
                    <w:p w14:paraId="5DEFD4EF" w14:textId="0B3ABD4A" w:rsidR="00553BF2" w:rsidRPr="00DB6AFC" w:rsidRDefault="00553BF2" w:rsidP="00E357DF">
                      <w:pPr>
                        <w:ind w:left="142"/>
                        <w:jc w:val="cente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n</w:t>
                      </w:r>
                      <w:proofErr w:type="spellEnd"/>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x</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w:t>
                      </w:r>
                      <w:r>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B6AFC">
                        <w:rPr>
                          <w:b/>
                          <w:i/>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s</w:t>
                      </w:r>
                    </w:p>
                  </w:txbxContent>
                </v:textbox>
                <w10:wrap anchorx="page"/>
              </v:shape>
            </w:pict>
          </mc:Fallback>
        </mc:AlternateContent>
      </w:r>
    </w:p>
    <w:p w14:paraId="038E6315" w14:textId="77777777" w:rsidR="008A7C18" w:rsidRDefault="008A7C18" w:rsidP="004C1B83">
      <w:pPr>
        <w:ind w:left="142"/>
        <w:jc w:val="both"/>
      </w:pPr>
    </w:p>
    <w:p w14:paraId="087BDB1F" w14:textId="77777777" w:rsidR="008A7C18" w:rsidRDefault="008A7C18" w:rsidP="004C1B83">
      <w:pPr>
        <w:ind w:left="142"/>
        <w:jc w:val="both"/>
      </w:pPr>
    </w:p>
    <w:p w14:paraId="1291FA79" w14:textId="77777777" w:rsidR="008A7C18" w:rsidRDefault="008A7C18" w:rsidP="004C1B83">
      <w:pPr>
        <w:ind w:left="142"/>
        <w:jc w:val="both"/>
      </w:pPr>
    </w:p>
    <w:p w14:paraId="0542AF01" w14:textId="77777777" w:rsidR="008A7C18" w:rsidRDefault="008A7C18" w:rsidP="004C1B83">
      <w:pPr>
        <w:ind w:left="142"/>
        <w:jc w:val="both"/>
      </w:pPr>
    </w:p>
    <w:p w14:paraId="6A4071EF" w14:textId="77777777" w:rsidR="008A7C18" w:rsidRDefault="008A7C18" w:rsidP="004C1B83">
      <w:pPr>
        <w:ind w:left="142"/>
        <w:jc w:val="both"/>
      </w:pPr>
    </w:p>
    <w:p w14:paraId="455FBCFC" w14:textId="67626E9F" w:rsidR="008A7C18" w:rsidRDefault="00242169" w:rsidP="00242169">
      <w:pPr>
        <w:ind w:left="142" w:firstLine="2126"/>
        <w:jc w:val="both"/>
        <w:rPr>
          <w:rFonts w:ascii="Times New Roman" w:hAnsi="Times New Roman"/>
        </w:rPr>
      </w:pPr>
      <w:r w:rsidRPr="00242169">
        <w:rPr>
          <w:rFonts w:ascii="Times New Roman" w:hAnsi="Times New Roman"/>
          <w:b/>
        </w:rPr>
        <w:t>Annexe 1</w:t>
      </w:r>
      <w:r>
        <w:rPr>
          <w:rFonts w:ascii="Times New Roman" w:hAnsi="Times New Roman"/>
          <w:b/>
        </w:rPr>
        <w:t xml:space="preserve"> : </w:t>
      </w:r>
      <w:hyperlink r:id="rId57" w:history="1">
        <w:r w:rsidRPr="00242169">
          <w:rPr>
            <w:rStyle w:val="Lienhypertexte"/>
            <w:rFonts w:ascii="Times New Roman" w:hAnsi="Times New Roman"/>
          </w:rPr>
          <w:t>RDC_ Tableau de description des flux</w:t>
        </w:r>
      </w:hyperlink>
    </w:p>
    <w:p w14:paraId="10E15F11" w14:textId="333859AD" w:rsidR="00242169" w:rsidRPr="00242169" w:rsidRDefault="00242169" w:rsidP="00242169">
      <w:pPr>
        <w:ind w:left="142" w:firstLine="2126"/>
        <w:jc w:val="both"/>
        <w:rPr>
          <w:rFonts w:ascii="Times New Roman" w:hAnsi="Times New Roman"/>
        </w:rPr>
      </w:pPr>
      <w:r>
        <w:rPr>
          <w:rFonts w:ascii="Times New Roman" w:hAnsi="Times New Roman"/>
          <w:b/>
        </w:rPr>
        <w:t xml:space="preserve">Annexe 2 : </w:t>
      </w:r>
      <w:r w:rsidRPr="00242169">
        <w:rPr>
          <w:rFonts w:ascii="Times New Roman" w:hAnsi="Times New Roman"/>
        </w:rPr>
        <w:t>Participation de l’Etat_ EPE</w:t>
      </w:r>
    </w:p>
    <w:p w14:paraId="04E1DD40" w14:textId="77777777" w:rsidR="008A7C18" w:rsidRDefault="008A7C18" w:rsidP="004C1B83">
      <w:pPr>
        <w:ind w:left="142"/>
        <w:jc w:val="both"/>
      </w:pPr>
    </w:p>
    <w:p w14:paraId="67F1A196" w14:textId="77777777" w:rsidR="008A7C18" w:rsidRDefault="008A7C18" w:rsidP="004C1B83">
      <w:pPr>
        <w:ind w:left="142"/>
        <w:jc w:val="both"/>
      </w:pPr>
    </w:p>
    <w:p w14:paraId="3BD0E051" w14:textId="77777777" w:rsidR="008A7C18" w:rsidRDefault="008A7C18" w:rsidP="004C1B83">
      <w:pPr>
        <w:ind w:left="142"/>
        <w:jc w:val="both"/>
      </w:pPr>
    </w:p>
    <w:p w14:paraId="573A61AF" w14:textId="77777777" w:rsidR="008A7C18" w:rsidRDefault="008A7C18" w:rsidP="004C1B83">
      <w:pPr>
        <w:ind w:left="142"/>
        <w:jc w:val="both"/>
      </w:pPr>
    </w:p>
    <w:p w14:paraId="75C263BE" w14:textId="77777777" w:rsidR="008A7C18" w:rsidRDefault="008A7C18" w:rsidP="004C1B83">
      <w:pPr>
        <w:ind w:left="142"/>
        <w:jc w:val="both"/>
      </w:pPr>
    </w:p>
    <w:p w14:paraId="3D7962D0" w14:textId="77777777" w:rsidR="008A7C18" w:rsidRDefault="008A7C18" w:rsidP="004C1B83">
      <w:pPr>
        <w:ind w:left="142"/>
        <w:jc w:val="both"/>
      </w:pPr>
    </w:p>
    <w:p w14:paraId="74D0A9E3" w14:textId="77777777" w:rsidR="008A7C18" w:rsidRDefault="008A7C18" w:rsidP="004C1B83">
      <w:pPr>
        <w:ind w:left="142"/>
        <w:jc w:val="both"/>
      </w:pPr>
    </w:p>
    <w:p w14:paraId="041271FD" w14:textId="77777777" w:rsidR="008A7C18" w:rsidRDefault="008A7C18" w:rsidP="004C1B83">
      <w:pPr>
        <w:ind w:left="142"/>
        <w:jc w:val="both"/>
      </w:pPr>
    </w:p>
    <w:p w14:paraId="3479E98A" w14:textId="30CFFE8D" w:rsidR="008A7C18" w:rsidRDefault="008A7C18" w:rsidP="00D648E9">
      <w:pPr>
        <w:jc w:val="both"/>
      </w:pPr>
    </w:p>
    <w:sectPr w:rsidR="008A7C18" w:rsidSect="008E309D">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527B3" w14:textId="77777777" w:rsidR="00A81FC8" w:rsidRDefault="00A81FC8" w:rsidP="00C579DE">
      <w:pPr>
        <w:spacing w:after="0" w:line="240" w:lineRule="auto"/>
      </w:pPr>
      <w:r>
        <w:separator/>
      </w:r>
    </w:p>
  </w:endnote>
  <w:endnote w:type="continuationSeparator" w:id="0">
    <w:p w14:paraId="47D72E54" w14:textId="77777777" w:rsidR="00A81FC8" w:rsidRDefault="00A81FC8" w:rsidP="00C5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Garamond Pro Bold">
    <w:panose1 w:val="00000000000000000000"/>
    <w:charset w:val="00"/>
    <w:family w:val="roman"/>
    <w:notTrueType/>
    <w:pitch w:val="variable"/>
    <w:sig w:usb0="800000AF" w:usb1="5000205B" w:usb2="00000000" w:usb3="00000000" w:csb0="0000009B" w:csb1="00000000"/>
  </w:font>
  <w:font w:name="BLOHFC+Arial">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mn-ea">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422284"/>
      <w:docPartObj>
        <w:docPartGallery w:val="Page Numbers (Bottom of Page)"/>
        <w:docPartUnique/>
      </w:docPartObj>
    </w:sdtPr>
    <w:sdtEndPr/>
    <w:sdtContent>
      <w:p w14:paraId="2C868B33" w14:textId="30D1B4D7" w:rsidR="00553BF2" w:rsidRDefault="00553BF2">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824" behindDoc="0" locked="0" layoutInCell="1" allowOverlap="1" wp14:anchorId="3D0D2A4F" wp14:editId="3D1CDDB5">
                  <wp:simplePos x="0" y="0"/>
                  <wp:positionH relativeFrom="rightMargin">
                    <wp:align>center</wp:align>
                  </wp:positionH>
                  <wp:positionV relativeFrom="bottomMargin">
                    <wp:align>center</wp:align>
                  </wp:positionV>
                  <wp:extent cx="512445" cy="441325"/>
                  <wp:effectExtent l="0" t="0" r="1905" b="0"/>
                  <wp:wrapNone/>
                  <wp:docPr id="5" name="Organigramme : Alternativ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4BFE721" w14:textId="77777777" w:rsidR="00553BF2" w:rsidRDefault="00553BF2">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092F1D" w:rsidRPr="00092F1D">
                                <w:rPr>
                                  <w:noProof/>
                                  <w:sz w:val="28"/>
                                  <w:szCs w:val="28"/>
                                </w:rPr>
                                <w:t>87</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D2A4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5" o:spid="_x0000_s1043" type="#_x0000_t176" style="position:absolute;margin-left:0;margin-top:0;width:40.35pt;height:34.75pt;z-index:25166182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" filled="f" fillcolor="#5c83b4" stroked="f" strokecolor="#737373">
                  <v:textbox>
                    <w:txbxContent>
                      <w:p w14:paraId="74BFE721" w14:textId="77777777" w:rsidR="00553BF2" w:rsidRDefault="00553BF2">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092F1D" w:rsidRPr="00092F1D">
                          <w:rPr>
                            <w:noProof/>
                            <w:sz w:val="28"/>
                            <w:szCs w:val="28"/>
                          </w:rPr>
                          <w:t>87</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91894" w14:textId="77777777" w:rsidR="00A81FC8" w:rsidRDefault="00A81FC8" w:rsidP="00C579DE">
      <w:pPr>
        <w:spacing w:after="0" w:line="240" w:lineRule="auto"/>
      </w:pPr>
      <w:r>
        <w:separator/>
      </w:r>
    </w:p>
  </w:footnote>
  <w:footnote w:type="continuationSeparator" w:id="0">
    <w:p w14:paraId="39E89590" w14:textId="77777777" w:rsidR="00A81FC8" w:rsidRDefault="00A81FC8" w:rsidP="00C579DE">
      <w:pPr>
        <w:spacing w:after="0" w:line="240" w:lineRule="auto"/>
      </w:pPr>
      <w:r>
        <w:continuationSeparator/>
      </w:r>
    </w:p>
  </w:footnote>
  <w:footnote w:id="1">
    <w:p w14:paraId="17724DC3" w14:textId="77777777" w:rsidR="00553BF2" w:rsidRPr="002C5CE0" w:rsidRDefault="00553BF2">
      <w:pPr>
        <w:pStyle w:val="Notedebasdepage"/>
        <w:rPr>
          <w:sz w:val="20"/>
        </w:rPr>
      </w:pPr>
      <w:r>
        <w:rPr>
          <w:rStyle w:val="Appelnotedebasdep"/>
        </w:rPr>
        <w:footnoteRef/>
      </w:r>
      <w:r>
        <w:t xml:space="preserve"> </w:t>
      </w:r>
      <w:r w:rsidRPr="002C5CE0">
        <w:rPr>
          <w:sz w:val="20"/>
        </w:rPr>
        <w:t>http://www.journalofficiel.cd/jordc/adm/uploads_jo/14fbf5f413899203486d5b618982ad12.pdf#nameddest=1</w:t>
      </w:r>
    </w:p>
  </w:footnote>
  <w:footnote w:id="2">
    <w:p w14:paraId="171DDFA0" w14:textId="77777777" w:rsidR="00553BF2" w:rsidRDefault="00553BF2" w:rsidP="00207B98">
      <w:pPr>
        <w:pStyle w:val="Notedebasdepage"/>
      </w:pPr>
      <w:r>
        <w:rPr>
          <w:rStyle w:val="Appelnotedebasdep"/>
        </w:rPr>
        <w:footnoteRef/>
      </w:r>
      <w:r>
        <w:t xml:space="preserve"> </w:t>
      </w:r>
      <w:r w:rsidRPr="00D92C56">
        <w:rPr>
          <w:sz w:val="20"/>
        </w:rPr>
        <w:t>http://www.journalofficiel.cd/jordc/adm/uploads_jo/14fbf5f413899203486d5b618982ad12.pdf#nameddest=1</w:t>
      </w:r>
    </w:p>
  </w:footnote>
  <w:footnote w:id="3">
    <w:p w14:paraId="7018AFEC" w14:textId="77777777" w:rsidR="00553BF2" w:rsidRDefault="00553BF2" w:rsidP="00207B98">
      <w:pPr>
        <w:pStyle w:val="Notedebasdepage"/>
      </w:pPr>
      <w:r>
        <w:rPr>
          <w:rStyle w:val="Appelnotedebasdep"/>
        </w:rPr>
        <w:footnoteRef/>
      </w:r>
      <w:r>
        <w:t xml:space="preserve"> </w:t>
      </w:r>
      <w:r w:rsidRPr="00D92C56">
        <w:rPr>
          <w:sz w:val="20"/>
        </w:rPr>
        <w:t>https://drive.google.com/file/d/18XmGsV90yDqCda6g3aD3rmFivPDnIMqV/view</w:t>
      </w:r>
    </w:p>
  </w:footnote>
  <w:footnote w:id="4">
    <w:p w14:paraId="7E21F6C7" w14:textId="77777777" w:rsidR="00553BF2" w:rsidRPr="00EF5E2B" w:rsidRDefault="00553BF2" w:rsidP="0027285F">
      <w:pPr>
        <w:pStyle w:val="Notedebasdepage"/>
        <w:rPr>
          <w:color w:val="0070C0"/>
          <w:lang w:val="fr-CD"/>
        </w:rPr>
      </w:pPr>
      <w:r w:rsidRPr="00EF5E2B">
        <w:rPr>
          <w:rStyle w:val="Appelnotedebasdep"/>
          <w:color w:val="0070C0"/>
        </w:rPr>
        <w:footnoteRef/>
      </w:r>
      <w:r w:rsidRPr="00EF5E2B">
        <w:rPr>
          <w:color w:val="0070C0"/>
        </w:rPr>
        <w:t xml:space="preserve"> </w:t>
      </w:r>
      <w:hyperlink r:id="rId1" w:history="1">
        <w:r w:rsidRPr="001B2204">
          <w:rPr>
            <w:rStyle w:val="Lienhypertexte"/>
            <w:sz w:val="18"/>
          </w:rPr>
          <w:t>http://www.leganet.cd/Legislation/Droit%20economique/Code%20Minier/Loi.15.012.01.08.2015.html</w:t>
        </w:r>
      </w:hyperlink>
      <w:r w:rsidRPr="001B2204">
        <w:rPr>
          <w:sz w:val="14"/>
        </w:rPr>
        <w:t xml:space="preserve"> </w:t>
      </w:r>
    </w:p>
  </w:footnote>
  <w:footnote w:id="5">
    <w:p w14:paraId="78052ED8" w14:textId="77777777" w:rsidR="00553BF2" w:rsidRDefault="00553BF2" w:rsidP="00207B98">
      <w:pPr>
        <w:pStyle w:val="Notedebasdepage"/>
      </w:pPr>
      <w:r>
        <w:rPr>
          <w:rStyle w:val="Appelnotedebasdep"/>
        </w:rPr>
        <w:footnoteRef/>
      </w:r>
      <w:r>
        <w:t xml:space="preserve"> </w:t>
      </w:r>
      <w:hyperlink r:id="rId2" w:history="1">
        <w:r w:rsidRPr="00C433D3">
          <w:rPr>
            <w:rStyle w:val="Lienhypertexte"/>
          </w:rPr>
          <w:t>https://drive.google.com/file/d/1h8CAO7P1hOZ1goVrKL-HMYSYN29rbLWW/view</w:t>
        </w:r>
      </w:hyperlink>
    </w:p>
  </w:footnote>
  <w:footnote w:id="6">
    <w:p w14:paraId="79E30CBA" w14:textId="77777777" w:rsidR="00553BF2" w:rsidRDefault="00553BF2" w:rsidP="00207B98">
      <w:r>
        <w:rPr>
          <w:rStyle w:val="Appelnotedebasdep"/>
        </w:rPr>
        <w:footnoteRef/>
      </w:r>
      <w:r>
        <w:t xml:space="preserve"> </w:t>
      </w:r>
      <w:hyperlink r:id="rId3" w:history="1">
        <w:r w:rsidRPr="00C433D3">
          <w:rPr>
            <w:rStyle w:val="Lienhypertexte"/>
          </w:rPr>
          <w:t>https://drive.google.com/file/d/1qc9ADTsYzKpBJG7VtLPTocbme1UFf9BP/view</w:t>
        </w:r>
      </w:hyperlink>
    </w:p>
  </w:footnote>
  <w:footnote w:id="7">
    <w:p w14:paraId="166C29F1" w14:textId="77777777" w:rsidR="00553BF2" w:rsidRDefault="00553BF2">
      <w:pPr>
        <w:pStyle w:val="Notedebasdepage"/>
      </w:pPr>
      <w:r>
        <w:rPr>
          <w:rStyle w:val="Appelnotedebasdep"/>
        </w:rPr>
        <w:footnoteRef/>
      </w:r>
      <w:r>
        <w:t xml:space="preserve"> </w:t>
      </w:r>
      <w:hyperlink r:id="rId4" w:history="1">
        <w:r w:rsidRPr="001F42D9">
          <w:rPr>
            <w:rStyle w:val="Lienhypertexte"/>
          </w:rPr>
          <w:t>https://drive.google.com/file/d/1UbJivB7ntQmVAFVVPVvoo1vZorfnPGj3/view</w:t>
        </w:r>
      </w:hyperlink>
    </w:p>
    <w:p w14:paraId="4E91CB75" w14:textId="77777777" w:rsidR="00553BF2" w:rsidRDefault="00553BF2">
      <w:pPr>
        <w:pStyle w:val="Notedebasdepage"/>
      </w:pPr>
    </w:p>
  </w:footnote>
  <w:footnote w:id="8">
    <w:p w14:paraId="11DE2E49" w14:textId="3EAF0D0B" w:rsidR="00553BF2" w:rsidRDefault="00553BF2">
      <w:pPr>
        <w:pStyle w:val="Notedebasdepage"/>
      </w:pPr>
      <w:r>
        <w:rPr>
          <w:rStyle w:val="Appelnotedebasdep"/>
        </w:rPr>
        <w:footnoteRef/>
      </w:r>
      <w:r>
        <w:t xml:space="preserve"> </w:t>
      </w:r>
      <w:r w:rsidRPr="005B20D6">
        <w:t>https://drive.google.com/open?id=1UbJivB7ntQmVAFVVPVvoo1vZorfnPGj3</w:t>
      </w:r>
    </w:p>
  </w:footnote>
  <w:footnote w:id="9">
    <w:p w14:paraId="4A37173A" w14:textId="77777777" w:rsidR="00553BF2" w:rsidRDefault="00553BF2" w:rsidP="00207B98">
      <w:pPr>
        <w:pStyle w:val="Notedebasdepage"/>
      </w:pPr>
      <w:r>
        <w:rPr>
          <w:rStyle w:val="Appelnotedebasdep"/>
        </w:rPr>
        <w:footnoteRef/>
      </w:r>
      <w:r>
        <w:t xml:space="preserve"> </w:t>
      </w:r>
      <w:r w:rsidRPr="00F7725B">
        <w:t>http://cno.ohada.cd/OHADA-RDC/3_Textes_internes_(RDC)/Reglementation_changes_rdc.pdf</w:t>
      </w:r>
    </w:p>
  </w:footnote>
  <w:footnote w:id="10">
    <w:p w14:paraId="3E82F01A" w14:textId="77777777" w:rsidR="00553BF2" w:rsidRDefault="00553BF2" w:rsidP="00207B98">
      <w:r>
        <w:rPr>
          <w:rStyle w:val="Appelnotedebasdep"/>
        </w:rPr>
        <w:footnoteRef/>
      </w:r>
      <w:r>
        <w:t xml:space="preserve"> </w:t>
      </w:r>
      <w:hyperlink r:id="rId5" w:history="1">
        <w:r w:rsidRPr="00C433D3">
          <w:rPr>
            <w:rStyle w:val="Lienhypertexte"/>
          </w:rPr>
          <w:t>https://www.droitcongolais.info/files/11443_ordonnance_du_23_fevrier_2013_taxes_impo.pdf</w:t>
        </w:r>
      </w:hyperlink>
    </w:p>
  </w:footnote>
  <w:footnote w:id="11">
    <w:p w14:paraId="4041DBBA" w14:textId="77777777" w:rsidR="00553BF2" w:rsidRDefault="00553BF2" w:rsidP="00207B98">
      <w:pPr>
        <w:pStyle w:val="Notedebasdepage"/>
      </w:pPr>
      <w:r>
        <w:rPr>
          <w:rStyle w:val="Appelnotedebasdep"/>
        </w:rPr>
        <w:footnoteRef/>
      </w:r>
      <w:r>
        <w:t xml:space="preserve"> </w:t>
      </w:r>
      <w:r w:rsidRPr="00E0537B">
        <w:t>https://drive.google.com/file/d/1o1pXwAwAUiQP5lTfYmQlOkCB_IfsSsbq/view</w:t>
      </w:r>
    </w:p>
  </w:footnote>
  <w:footnote w:id="12">
    <w:p w14:paraId="399756F2" w14:textId="77777777" w:rsidR="00553BF2" w:rsidRDefault="00553BF2" w:rsidP="00207B98">
      <w:pPr>
        <w:pStyle w:val="Notedebasdepage"/>
      </w:pPr>
      <w:r>
        <w:rPr>
          <w:rStyle w:val="Appelnotedebasdep"/>
        </w:rPr>
        <w:footnoteRef/>
      </w:r>
      <w:r>
        <w:t xml:space="preserve"> </w:t>
      </w:r>
      <w:r w:rsidRPr="001C3CE1">
        <w:t>http://leganet.cd/Legislation/JO/2016/JOS.12.11.2016.pdf</w:t>
      </w:r>
    </w:p>
  </w:footnote>
  <w:footnote w:id="13">
    <w:p w14:paraId="7DEF5CB9" w14:textId="77777777" w:rsidR="00553BF2" w:rsidRDefault="00553BF2" w:rsidP="00207B98">
      <w:pPr>
        <w:pStyle w:val="Notedebasdepage"/>
      </w:pPr>
      <w:r>
        <w:rPr>
          <w:rStyle w:val="Appelnotedebasdep"/>
        </w:rPr>
        <w:footnoteRef/>
      </w:r>
      <w:r>
        <w:t xml:space="preserve"> </w:t>
      </w:r>
      <w:r w:rsidRPr="00C55DB8">
        <w:t>http://www.leganet.cd/Legislation/Droit%20Public/Ministeres/O.08.74.24.12.2008.htm</w:t>
      </w:r>
    </w:p>
  </w:footnote>
  <w:footnote w:id="14">
    <w:p w14:paraId="62C52B1A" w14:textId="77777777" w:rsidR="00553BF2" w:rsidRDefault="00553BF2" w:rsidP="00207B98">
      <w:pPr>
        <w:pStyle w:val="Notedebasdepage"/>
      </w:pPr>
      <w:r>
        <w:rPr>
          <w:rStyle w:val="Appelnotedebasdep"/>
        </w:rPr>
        <w:footnoteRef/>
      </w:r>
      <w:r>
        <w:t xml:space="preserve"> </w:t>
      </w:r>
      <w:hyperlink r:id="rId6" w:history="1">
        <w:r w:rsidRPr="00C433D3">
          <w:rPr>
            <w:rStyle w:val="Lienhypertexte"/>
          </w:rPr>
          <w:t>https://drive.google.com/file/d/1GBz3CGnuDl6fVG39m46pnvb6fOqzneNa/view</w:t>
        </w:r>
      </w:hyperlink>
    </w:p>
  </w:footnote>
  <w:footnote w:id="15">
    <w:p w14:paraId="41137510" w14:textId="77777777" w:rsidR="00553BF2" w:rsidRDefault="00553BF2" w:rsidP="00207B98">
      <w:pPr>
        <w:pStyle w:val="Notedebasdepage"/>
      </w:pPr>
      <w:r>
        <w:rPr>
          <w:rStyle w:val="Appelnotedebasdep"/>
        </w:rPr>
        <w:footnoteRef/>
      </w:r>
      <w:r>
        <w:t xml:space="preserve"> </w:t>
      </w:r>
      <w:hyperlink r:id="rId7" w:history="1">
        <w:r w:rsidRPr="00C433D3">
          <w:rPr>
            <w:rStyle w:val="Lienhypertexte"/>
          </w:rPr>
          <w:t>https://drive.google.com/file/d/18XmGsV90yDqCda6g3aD3rmFivPDnIMqV/view</w:t>
        </w:r>
      </w:hyperlink>
      <w:r>
        <w:t xml:space="preserve"> </w:t>
      </w:r>
    </w:p>
  </w:footnote>
  <w:footnote w:id="16">
    <w:p w14:paraId="227EC0E1" w14:textId="77777777" w:rsidR="00553BF2" w:rsidRDefault="00553BF2" w:rsidP="00207B98">
      <w:pPr>
        <w:pStyle w:val="Notedebasdepage"/>
      </w:pPr>
      <w:r>
        <w:rPr>
          <w:rStyle w:val="Appelnotedebasdep"/>
        </w:rPr>
        <w:footnoteRef/>
      </w:r>
      <w:r>
        <w:t xml:space="preserve"> </w:t>
      </w:r>
      <w:hyperlink r:id="rId8" w:history="1">
        <w:r w:rsidRPr="00C433D3">
          <w:rPr>
            <w:rStyle w:val="Lienhypertexte"/>
          </w:rPr>
          <w:t>https://drive.google.com/file/d/18XmGsV90yDqCda6g3aD3rmFivPDnIMqV/view</w:t>
        </w:r>
      </w:hyperlink>
      <w:r>
        <w:t xml:space="preserve"> </w:t>
      </w:r>
    </w:p>
  </w:footnote>
  <w:footnote w:id="17">
    <w:p w14:paraId="73BA37F3" w14:textId="77777777" w:rsidR="00553BF2" w:rsidRPr="004E7C39" w:rsidRDefault="00553BF2" w:rsidP="00C579DE">
      <w:pPr>
        <w:pStyle w:val="Notedebasdepage"/>
        <w:rPr>
          <w:rFonts w:ascii="Times New Roman" w:hAnsi="Times New Roman"/>
          <w:sz w:val="36"/>
        </w:rPr>
      </w:pPr>
      <w:r w:rsidRPr="004E7C39">
        <w:rPr>
          <w:rStyle w:val="Appelnotedebasdep"/>
          <w:rFonts w:ascii="Times New Roman" w:hAnsi="Times New Roman"/>
          <w:sz w:val="36"/>
        </w:rPr>
        <w:footnoteRef/>
      </w:r>
      <w:r w:rsidRPr="004E7C39">
        <w:rPr>
          <w:rFonts w:ascii="Times New Roman" w:hAnsi="Times New Roman"/>
          <w:sz w:val="36"/>
        </w:rPr>
        <w:t xml:space="preserve"> </w:t>
      </w:r>
      <w:r w:rsidRPr="004E7C39">
        <w:rPr>
          <w:rFonts w:ascii="Times New Roman" w:hAnsi="Times New Roman"/>
          <w:sz w:val="24"/>
        </w:rPr>
        <w:t>L</w:t>
      </w:r>
      <w:r w:rsidRPr="004E7C39">
        <w:rPr>
          <w:rFonts w:ascii="Times New Roman" w:eastAsiaTheme="minorHAnsi" w:hAnsi="Times New Roman"/>
          <w:sz w:val="24"/>
          <w:szCs w:val="24"/>
        </w:rPr>
        <w:t>ettre du Secrétaire Général aux Hydrocarbures du 19/07/2017 adressée au Secrétariat Technique de l’ITIE-RDC</w:t>
      </w:r>
    </w:p>
  </w:footnote>
  <w:footnote w:id="18">
    <w:p w14:paraId="4A0158AB" w14:textId="77777777" w:rsidR="00553BF2" w:rsidRDefault="00553BF2" w:rsidP="00EF293C">
      <w:pPr>
        <w:pStyle w:val="Notedebasdepage"/>
      </w:pPr>
      <w:r>
        <w:rPr>
          <w:rStyle w:val="Appelnotedebasdep"/>
        </w:rPr>
        <w:footnoteRef/>
      </w:r>
      <w:r>
        <w:t xml:space="preserve"> </w:t>
      </w:r>
      <w:r w:rsidRPr="00DC6E82">
        <w:t>https://drive.google.com/file/d/1TZKAPqoixPB4O6qb_XH48EfDP-a2Wzi4/view</w:t>
      </w:r>
    </w:p>
  </w:footnote>
  <w:footnote w:id="19">
    <w:p w14:paraId="30B36779" w14:textId="77777777" w:rsidR="00553BF2" w:rsidRDefault="00553BF2" w:rsidP="00EF293C">
      <w:pPr>
        <w:pStyle w:val="Notedebasdepage"/>
      </w:pPr>
      <w:r>
        <w:rPr>
          <w:rStyle w:val="Appelnotedebasdep"/>
        </w:rPr>
        <w:footnoteRef/>
      </w:r>
      <w:r>
        <w:t xml:space="preserve"> </w:t>
      </w:r>
      <w:r w:rsidRPr="00C0352E">
        <w:t>http://portals.flexicadastre.com/drc/fr/</w:t>
      </w:r>
    </w:p>
  </w:footnote>
  <w:footnote w:id="20">
    <w:p w14:paraId="6D954E24" w14:textId="77777777" w:rsidR="00553BF2" w:rsidRDefault="00553BF2" w:rsidP="00EF293C">
      <w:pPr>
        <w:pStyle w:val="Notedebasdepage"/>
      </w:pPr>
      <w:r>
        <w:rPr>
          <w:rStyle w:val="Appelnotedebasdep"/>
        </w:rPr>
        <w:footnoteRef/>
      </w:r>
      <w:r>
        <w:t xml:space="preserve"> </w:t>
      </w:r>
      <w:r w:rsidRPr="00A64CF0">
        <w:t>http://www.itierdc.net/carte-de-la-rdc-cliquable/registre-petrolier/</w:t>
      </w:r>
    </w:p>
  </w:footnote>
  <w:footnote w:id="21">
    <w:p w14:paraId="13E3BC55" w14:textId="77777777" w:rsidR="00553BF2" w:rsidRDefault="00553BF2" w:rsidP="00691D72">
      <w:pPr>
        <w:pStyle w:val="Notedebasdepage"/>
      </w:pPr>
      <w:r>
        <w:rPr>
          <w:rStyle w:val="Appelnotedebasdep"/>
        </w:rPr>
        <w:footnoteRef/>
      </w:r>
      <w:r>
        <w:t xml:space="preserve"> </w:t>
      </w:r>
      <w:r w:rsidRPr="00A64CF0">
        <w:t>http://www.itierdc.net/new_itie-rdc/</w:t>
      </w:r>
    </w:p>
  </w:footnote>
  <w:footnote w:id="22">
    <w:p w14:paraId="22BCC918" w14:textId="77777777" w:rsidR="00553BF2" w:rsidRDefault="00553BF2" w:rsidP="00691D72">
      <w:pPr>
        <w:pStyle w:val="Notedebasdepage"/>
      </w:pPr>
      <w:r>
        <w:rPr>
          <w:rStyle w:val="Appelnotedebasdep"/>
        </w:rPr>
        <w:footnoteRef/>
      </w:r>
      <w:r>
        <w:t xml:space="preserve"> </w:t>
      </w:r>
      <w:r w:rsidRPr="00DE774C">
        <w:t>http://itierdc.net/wp-content/uploads/2016/03/RAP2-1.pdf</w:t>
      </w:r>
    </w:p>
  </w:footnote>
  <w:footnote w:id="23">
    <w:p w14:paraId="3F7B6ABF" w14:textId="77777777" w:rsidR="00553BF2" w:rsidRDefault="00553BF2" w:rsidP="00691D72">
      <w:pPr>
        <w:pStyle w:val="Notedebasdepage"/>
      </w:pPr>
      <w:r>
        <w:rPr>
          <w:rStyle w:val="Appelnotedebasdep"/>
        </w:rPr>
        <w:footnoteRef/>
      </w:r>
      <w:r>
        <w:t xml:space="preserve"> </w:t>
      </w:r>
      <w:r w:rsidRPr="004004A0">
        <w:t>http://itierdc-data.masiavuvu.fr/donnees-itie/</w:t>
      </w:r>
    </w:p>
  </w:footnote>
  <w:footnote w:id="24">
    <w:p w14:paraId="4505550D" w14:textId="77777777" w:rsidR="00553BF2" w:rsidRDefault="00553BF2" w:rsidP="00005C6E">
      <w:pPr>
        <w:pStyle w:val="Notedebasdepage"/>
      </w:pPr>
      <w:r>
        <w:rPr>
          <w:rStyle w:val="Appelnotedebasdep"/>
        </w:rPr>
        <w:footnoteRef/>
      </w:r>
      <w:r>
        <w:t xml:space="preserve"> </w:t>
      </w:r>
      <w:hyperlink r:id="rId9" w:history="1">
        <w:r w:rsidRPr="00F317B4">
          <w:rPr>
            <w:rStyle w:val="Lienhypertexte"/>
          </w:rPr>
          <w:t>http://itierdc-data.masiavuvu.fr/donnees-itie/</w:t>
        </w:r>
      </w:hyperlink>
      <w:r>
        <w:t xml:space="preserve"> , Données par entité</w:t>
      </w:r>
    </w:p>
  </w:footnote>
  <w:footnote w:id="25">
    <w:p w14:paraId="789CA9AA" w14:textId="77777777" w:rsidR="00553BF2" w:rsidRDefault="00553BF2" w:rsidP="00005C6E">
      <w:pPr>
        <w:pStyle w:val="Notedebasdepage"/>
      </w:pPr>
      <w:r>
        <w:rPr>
          <w:rStyle w:val="Appelnotedebasdep"/>
        </w:rPr>
        <w:footnoteRef/>
      </w:r>
      <w:r>
        <w:t xml:space="preserve"> </w:t>
      </w:r>
      <w:r w:rsidRPr="006E53CE">
        <w:t>https://drive.google.com/file/d/1mdOS_khrNvusglI3McM8by25SAxm1Gpg/view</w:t>
      </w:r>
    </w:p>
  </w:footnote>
  <w:footnote w:id="26">
    <w:p w14:paraId="55315716" w14:textId="77777777" w:rsidR="00553BF2" w:rsidRDefault="00553BF2" w:rsidP="00F000B0">
      <w:pPr>
        <w:pStyle w:val="Notedebasdepage"/>
      </w:pPr>
      <w:r>
        <w:rPr>
          <w:rStyle w:val="Appelnotedebasdep"/>
        </w:rPr>
        <w:footnoteRef/>
      </w:r>
      <w:r>
        <w:t xml:space="preserve"> Le processus de transformation a débuté en 2008 et il est en cours. </w:t>
      </w:r>
    </w:p>
  </w:footnote>
  <w:footnote w:id="27">
    <w:p w14:paraId="60E6CB2B" w14:textId="77777777" w:rsidR="00553BF2" w:rsidRDefault="00553BF2">
      <w:pPr>
        <w:pStyle w:val="Notedebasdepage"/>
      </w:pPr>
      <w:r>
        <w:rPr>
          <w:rStyle w:val="Appelnotedebasdep"/>
        </w:rPr>
        <w:footnoteRef/>
      </w:r>
      <w:r>
        <w:t xml:space="preserve"> Il s’agit de : GECAMINES, SCMK-Mn, SODIMICO, SOKIMO, SAKIMA et SONAHYDROC</w:t>
      </w:r>
    </w:p>
  </w:footnote>
  <w:footnote w:id="28">
    <w:p w14:paraId="110D2B35" w14:textId="77777777" w:rsidR="00553BF2" w:rsidRDefault="00553BF2" w:rsidP="00F000B0">
      <w:pPr>
        <w:pStyle w:val="Notedebasdepage"/>
      </w:pPr>
      <w:r>
        <w:rPr>
          <w:rStyle w:val="Appelnotedebasdep"/>
        </w:rPr>
        <w:footnoteRef/>
      </w:r>
      <w:r>
        <w:t xml:space="preserve"> </w:t>
      </w:r>
      <w:r w:rsidRPr="00D26930">
        <w:t>http://itierdc-data.masiavuvu.fr/donnees-itie/</w:t>
      </w:r>
    </w:p>
  </w:footnote>
  <w:footnote w:id="29">
    <w:p w14:paraId="413F4A06" w14:textId="77777777" w:rsidR="00553BF2" w:rsidRDefault="00553BF2" w:rsidP="00F000B0">
      <w:r>
        <w:rPr>
          <w:rStyle w:val="Appelnotedebasdep"/>
        </w:rPr>
        <w:footnoteRef/>
      </w:r>
      <w:r>
        <w:t xml:space="preserve"> </w:t>
      </w:r>
      <w:r w:rsidRPr="004C418F">
        <w:t xml:space="preserve">Description des règles  régissant la relation financière entre les </w:t>
      </w:r>
      <w:r>
        <w:t>EPE</w:t>
      </w:r>
      <w:r w:rsidRPr="004C418F">
        <w:t xml:space="preserve"> et le gouvernement, document rédigé par le </w:t>
      </w:r>
      <w:r>
        <w:t>CSP</w:t>
      </w:r>
    </w:p>
  </w:footnote>
  <w:footnote w:id="30">
    <w:p w14:paraId="3407A3BE" w14:textId="77777777" w:rsidR="00553BF2" w:rsidRDefault="00553BF2">
      <w:pPr>
        <w:pStyle w:val="Notedebasdepage"/>
      </w:pPr>
      <w:r>
        <w:rPr>
          <w:rStyle w:val="Appelnotedebasdep"/>
        </w:rPr>
        <w:footnoteRef/>
      </w:r>
      <w:r>
        <w:t xml:space="preserve"> Voir cas de SAKIMA avec son régime dérogatoire</w:t>
      </w:r>
    </w:p>
  </w:footnote>
  <w:footnote w:id="31">
    <w:p w14:paraId="24218884" w14:textId="77777777" w:rsidR="00553BF2" w:rsidRDefault="00553BF2" w:rsidP="00F000B0">
      <w:pPr>
        <w:pStyle w:val="Notedebasdepage"/>
      </w:pPr>
      <w:r>
        <w:rPr>
          <w:rStyle w:val="Appelnotedebasdep"/>
        </w:rPr>
        <w:footnoteRef/>
      </w:r>
      <w:r>
        <w:t xml:space="preserve"> </w:t>
      </w:r>
      <w:r w:rsidRPr="00AA5351">
        <w:rPr>
          <w:rFonts w:ascii="Times New Roman" w:hAnsi="Times New Roman"/>
          <w:sz w:val="24"/>
          <w:szCs w:val="24"/>
          <w:vertAlign w:val="superscript"/>
        </w:rPr>
        <w:t>Réponses des entreprises aux demandes d’informations</w:t>
      </w:r>
    </w:p>
  </w:footnote>
  <w:footnote w:id="32">
    <w:p w14:paraId="357EF749" w14:textId="1E27DA1E" w:rsidR="00553BF2" w:rsidRDefault="00553BF2">
      <w:pPr>
        <w:pStyle w:val="Notedebasdepage"/>
      </w:pPr>
      <w:r>
        <w:rPr>
          <w:rStyle w:val="Appelnotedebasdep"/>
        </w:rPr>
        <w:footnoteRef/>
      </w:r>
      <w:r>
        <w:t xml:space="preserve"> </w:t>
      </w:r>
      <w:r w:rsidRPr="00D256CC">
        <w:rPr>
          <w:rFonts w:ascii="Times New Roman" w:hAnsi="Times New Roman"/>
        </w:rPr>
        <w:t>Déclaration de la GECAMINES à l’ITIE-RDC 2016</w:t>
      </w:r>
    </w:p>
  </w:footnote>
  <w:footnote w:id="33">
    <w:p w14:paraId="62E1825C" w14:textId="77777777" w:rsidR="00553BF2" w:rsidRDefault="00553BF2" w:rsidP="00F000B0">
      <w:pPr>
        <w:pStyle w:val="Notedebasdepage"/>
      </w:pPr>
      <w:r>
        <w:rPr>
          <w:rStyle w:val="Appelnotedebasdep"/>
        </w:rPr>
        <w:footnoteRef/>
      </w:r>
      <w:r>
        <w:t xml:space="preserve"> Lire l’article 71, litera c du code minier de 2002. En mars 2018, la part  des parts sociales ou actions à céder à l’Etat dans le capital sociales de la société</w:t>
      </w:r>
      <w:r>
        <w:rPr>
          <w:sz w:val="23"/>
          <w:szCs w:val="23"/>
        </w:rPr>
        <w:t xml:space="preserve"> requérante est passée de 5% à 10%. </w:t>
      </w:r>
    </w:p>
  </w:footnote>
  <w:footnote w:id="34">
    <w:p w14:paraId="0052F145" w14:textId="77777777" w:rsidR="00553BF2" w:rsidRDefault="00553BF2" w:rsidP="00F000B0">
      <w:pPr>
        <w:pStyle w:val="Notedebasdepage"/>
      </w:pPr>
      <w:r>
        <w:rPr>
          <w:rStyle w:val="Appelnotedebasdep"/>
        </w:rPr>
        <w:footnoteRef/>
      </w:r>
      <w:r>
        <w:t xml:space="preserve"> </w:t>
      </w:r>
      <w:r w:rsidRPr="003C29D8">
        <w:rPr>
          <w:rFonts w:ascii="Times New Roman" w:hAnsi="Times New Roman"/>
          <w:sz w:val="18"/>
          <w:szCs w:val="18"/>
        </w:rPr>
        <w:t>SOCO E&amp;P RDC  s’est retiré en 2015 mais continue à  figurer  dans le fichier du Ministère du Portefeuille comme entreprise détenue indirectement par l’Etat</w:t>
      </w:r>
    </w:p>
  </w:footnote>
  <w:footnote w:id="35">
    <w:p w14:paraId="08FEA27C" w14:textId="77777777" w:rsidR="00553BF2" w:rsidRDefault="00553BF2" w:rsidP="00F000B0">
      <w:pPr>
        <w:pStyle w:val="Notedebasdepage"/>
      </w:pPr>
      <w:r>
        <w:rPr>
          <w:rStyle w:val="Appelnotedebasdep"/>
        </w:rPr>
        <w:footnoteRef/>
      </w:r>
      <w:r w:rsidRPr="00590428">
        <w:rPr>
          <w:sz w:val="18"/>
        </w:rPr>
        <w:t xml:space="preserve"> Loi n° 11/011 du  13  juillet  2011,  relative aux finances publiques. Article 6.</w:t>
      </w:r>
    </w:p>
  </w:footnote>
  <w:footnote w:id="36">
    <w:p w14:paraId="07789A6E" w14:textId="77777777" w:rsidR="00553BF2" w:rsidRDefault="00553BF2" w:rsidP="00F000B0">
      <w:pPr>
        <w:shd w:val="clear" w:color="auto" w:fill="FFFFFF"/>
        <w:rPr>
          <w:rFonts w:ascii="Helvetica" w:hAnsi="Helvetica" w:cs="Helvetica"/>
          <w:color w:val="333333"/>
          <w:sz w:val="20"/>
          <w:szCs w:val="20"/>
        </w:rPr>
      </w:pPr>
      <w:r>
        <w:rPr>
          <w:rStyle w:val="Appelnotedebasdep"/>
        </w:rPr>
        <w:footnoteRef/>
      </w:r>
      <w:r>
        <w:t xml:space="preserve"> </w:t>
      </w:r>
      <w:hyperlink r:id="rId10" w:tgtFrame="_blank" w:history="1">
        <w:r>
          <w:rPr>
            <w:rStyle w:val="Lienhypertexte"/>
            <w:rFonts w:ascii="Helvetica" w:hAnsi="Helvetica" w:cs="Helvetica"/>
            <w:color w:val="551A8B"/>
            <w:sz w:val="20"/>
            <w:szCs w:val="20"/>
          </w:rPr>
          <w:t>https://drive.google.com/drive/u/1/folders/1cAsueIhKfyr6iUBQBXaRTKkKH3OIlgbc</w:t>
        </w:r>
      </w:hyperlink>
    </w:p>
    <w:p w14:paraId="38C9121D" w14:textId="77777777" w:rsidR="00553BF2" w:rsidRDefault="00553BF2" w:rsidP="00F000B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2F5496" w:themeColor="accent5" w:themeShade="BF"/>
      </w:rPr>
      <w:alias w:val="Titre"/>
      <w:id w:val="77547040"/>
      <w:placeholder>
        <w:docPart w:val="4B8656B8178C47DD87FB48F39B039399"/>
      </w:placeholder>
      <w:dataBinding w:prefixMappings="xmlns:ns0='http://schemas.openxmlformats.org/package/2006/metadata/core-properties' xmlns:ns1='http://purl.org/dc/elements/1.1/'" w:xpath="/ns0:coreProperties[1]/ns1:title[1]" w:storeItemID="{6C3C8BC8-F283-45AE-878A-BAB7291924A1}"/>
      <w:text/>
    </w:sdtPr>
    <w:sdtEndPr/>
    <w:sdtContent>
      <w:p w14:paraId="47E12721" w14:textId="45BE26F4" w:rsidR="00553BF2" w:rsidRPr="00360D84" w:rsidRDefault="00553BF2">
        <w:pPr>
          <w:pStyle w:val="En-tte"/>
          <w:pBdr>
            <w:between w:val="single" w:sz="4" w:space="1" w:color="5B9BD5" w:themeColor="accent1"/>
          </w:pBdr>
          <w:spacing w:line="276" w:lineRule="auto"/>
          <w:jc w:val="center"/>
          <w:rPr>
            <w:b/>
            <w:color w:val="2F5496" w:themeColor="accent5" w:themeShade="BF"/>
          </w:rPr>
        </w:pPr>
        <w:r w:rsidRPr="00360D84">
          <w:rPr>
            <w:b/>
            <w:color w:val="2F5496" w:themeColor="accent5" w:themeShade="BF"/>
          </w:rPr>
          <w:t>Comité Exécutif</w:t>
        </w:r>
      </w:p>
    </w:sdtContent>
  </w:sdt>
  <w:sdt>
    <w:sdtPr>
      <w:rPr>
        <w:color w:val="2E74B5" w:themeColor="accent1" w:themeShade="BF"/>
      </w:rPr>
      <w:alias w:val="Date"/>
      <w:id w:val="77547044"/>
      <w:placeholder>
        <w:docPart w:val="BFBCE8B1111545928E1D5A39FF03BB7A"/>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EndPr/>
    <w:sdtContent>
      <w:p w14:paraId="23A6EF90" w14:textId="082D9B4B" w:rsidR="00553BF2" w:rsidRPr="00360D84" w:rsidRDefault="00553BF2">
        <w:pPr>
          <w:pStyle w:val="En-tte"/>
          <w:pBdr>
            <w:between w:val="single" w:sz="4" w:space="1" w:color="5B9BD5" w:themeColor="accent1"/>
          </w:pBdr>
          <w:spacing w:line="276" w:lineRule="auto"/>
          <w:jc w:val="center"/>
          <w:rPr>
            <w:color w:val="2E74B5" w:themeColor="accent1" w:themeShade="BF"/>
          </w:rPr>
        </w:pPr>
        <w:r w:rsidRPr="00360D84">
          <w:rPr>
            <w:color w:val="2E74B5" w:themeColor="accent1" w:themeShade="BF"/>
          </w:rPr>
          <w:t>Rapport Contextuel ITIE-RDC</w:t>
        </w:r>
        <w:r>
          <w:rPr>
            <w:color w:val="2E74B5" w:themeColor="accent1" w:themeShade="BF"/>
          </w:rPr>
          <w:t xml:space="preserve"> </w:t>
        </w:r>
        <w:r w:rsidRPr="00360D84">
          <w:rPr>
            <w:color w:val="2E74B5" w:themeColor="accent1" w:themeShade="BF"/>
          </w:rPr>
          <w:t>2016</w:t>
        </w:r>
      </w:p>
    </w:sdtContent>
  </w:sdt>
  <w:p w14:paraId="494317D1" w14:textId="7813720C" w:rsidR="00553BF2" w:rsidRPr="00360D84" w:rsidRDefault="00553BF2" w:rsidP="00F000B0">
    <w:pPr>
      <w:pStyle w:val="En-tte"/>
      <w:rPr>
        <w:color w:val="2E74B5" w:themeColor="accent1" w:themeShade="BF"/>
      </w:rPr>
    </w:pPr>
    <w:r>
      <w:rPr>
        <w:noProof/>
        <w:color w:val="5B9BD5" w:themeColor="accent1"/>
        <w:lang w:eastAsia="fr-FR"/>
      </w:rPr>
      <w:drawing>
        <wp:anchor distT="0" distB="0" distL="114300" distR="114300" simplePos="0" relativeHeight="251653632" behindDoc="0" locked="0" layoutInCell="1" allowOverlap="1" wp14:anchorId="0D9846EB" wp14:editId="6F643157">
          <wp:simplePos x="0" y="0"/>
          <wp:positionH relativeFrom="column">
            <wp:posOffset>-776605</wp:posOffset>
          </wp:positionH>
          <wp:positionV relativeFrom="paragraph">
            <wp:posOffset>-792480</wp:posOffset>
          </wp:positionV>
          <wp:extent cx="845820" cy="439420"/>
          <wp:effectExtent l="0" t="0" r="0" b="0"/>
          <wp:wrapThrough wrapText="bothSides">
            <wp:wrapPolygon edited="0">
              <wp:start x="0" y="0"/>
              <wp:lineTo x="0" y="18728"/>
              <wp:lineTo x="20919" y="18728"/>
              <wp:lineTo x="20919" y="1873"/>
              <wp:lineTo x="20432"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itie_transparent_bon.png"/>
                  <pic:cNvPicPr/>
                </pic:nvPicPr>
                <pic:blipFill>
                  <a:blip r:embed="rId1">
                    <a:extLst>
                      <a:ext uri="{28A0092B-C50C-407E-A947-70E740481C1C}">
                        <a14:useLocalDpi xmlns:a14="http://schemas.microsoft.com/office/drawing/2010/main" val="0"/>
                      </a:ext>
                    </a:extLst>
                  </a:blip>
                  <a:stretch>
                    <a:fillRect/>
                  </a:stretch>
                </pic:blipFill>
                <pic:spPr>
                  <a:xfrm>
                    <a:off x="0" y="0"/>
                    <a:ext cx="845820" cy="439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FF5E"/>
      </v:shape>
    </w:pict>
  </w:numPicBullet>
  <w:abstractNum w:abstractNumId="0">
    <w:nsid w:val="01FF549A"/>
    <w:multiLevelType w:val="hybridMultilevel"/>
    <w:tmpl w:val="B528727E"/>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A32951"/>
    <w:multiLevelType w:val="hybridMultilevel"/>
    <w:tmpl w:val="825209C8"/>
    <w:lvl w:ilvl="0" w:tplc="6FDEF510">
      <w:start w:val="2"/>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nsid w:val="074F1717"/>
    <w:multiLevelType w:val="hybridMultilevel"/>
    <w:tmpl w:val="5EF419FA"/>
    <w:lvl w:ilvl="0" w:tplc="040C0017">
      <w:start w:val="1"/>
      <w:numFmt w:val="lowerLetter"/>
      <w:lvlText w:val="%1)"/>
      <w:lvlJc w:val="left"/>
      <w:pPr>
        <w:ind w:left="720" w:hanging="360"/>
      </w:pPr>
    </w:lvl>
    <w:lvl w:ilvl="1" w:tplc="140ED67C">
      <w:start w:val="1"/>
      <w:numFmt w:val="lowerLetter"/>
      <w:lvlText w:val="(%2)"/>
      <w:lvlJc w:val="left"/>
      <w:pPr>
        <w:ind w:left="1524" w:hanging="444"/>
      </w:pPr>
      <w:rPr>
        <w:rFonts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995C16"/>
    <w:multiLevelType w:val="hybridMultilevel"/>
    <w:tmpl w:val="1E6A2C82"/>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CD1D49"/>
    <w:multiLevelType w:val="hybridMultilevel"/>
    <w:tmpl w:val="C48A5A1C"/>
    <w:lvl w:ilvl="0" w:tplc="040C000F">
      <w:start w:val="1"/>
      <w:numFmt w:val="decimal"/>
      <w:lvlText w:val="%1."/>
      <w:lvlJc w:val="left"/>
      <w:pPr>
        <w:ind w:left="2628" w:hanging="360"/>
      </w:pPr>
      <w:rPr>
        <w:rFonts w:hint="default"/>
      </w:r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5">
    <w:nsid w:val="0BAC705F"/>
    <w:multiLevelType w:val="hybridMultilevel"/>
    <w:tmpl w:val="671AC5BC"/>
    <w:lvl w:ilvl="0" w:tplc="C2CCAA56">
      <w:start w:val="1"/>
      <w:numFmt w:val="bullet"/>
      <w:lvlText w:val="▪"/>
      <w:lvlJc w:val="left"/>
      <w:pPr>
        <w:ind w:left="2138" w:hanging="3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1" w:tplc="040C0003">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nsid w:val="0BF44122"/>
    <w:multiLevelType w:val="hybridMultilevel"/>
    <w:tmpl w:val="FE800D5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CE01E66"/>
    <w:multiLevelType w:val="hybridMultilevel"/>
    <w:tmpl w:val="CDD27B40"/>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E631CBD"/>
    <w:multiLevelType w:val="hybridMultilevel"/>
    <w:tmpl w:val="6E145448"/>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FD78FA"/>
    <w:multiLevelType w:val="hybridMultilevel"/>
    <w:tmpl w:val="74FC5DD6"/>
    <w:lvl w:ilvl="0" w:tplc="040C0007">
      <w:start w:val="1"/>
      <w:numFmt w:val="bullet"/>
      <w:lvlText w:val=""/>
      <w:lvlPicBulletId w:val="0"/>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4220853"/>
    <w:multiLevelType w:val="hybridMultilevel"/>
    <w:tmpl w:val="3D5A26A2"/>
    <w:lvl w:ilvl="0" w:tplc="6B2CE314">
      <w:start w:val="1"/>
      <w:numFmt w:val="decimal"/>
      <w:lvlText w:val="(%1)."/>
      <w:lvlJc w:val="left"/>
      <w:pPr>
        <w:ind w:left="2858" w:hanging="360"/>
      </w:pPr>
      <w:rPr>
        <w:rFonts w:ascii="Calibri" w:hAnsi="Calibri" w:cs="Calibri" w:hint="default"/>
        <w:sz w:val="16"/>
        <w:szCs w:val="16"/>
      </w:rPr>
    </w:lvl>
    <w:lvl w:ilvl="1" w:tplc="040C0019" w:tentative="1">
      <w:start w:val="1"/>
      <w:numFmt w:val="lowerLetter"/>
      <w:lvlText w:val="%2."/>
      <w:lvlJc w:val="left"/>
      <w:pPr>
        <w:ind w:left="3578" w:hanging="360"/>
      </w:pPr>
    </w:lvl>
    <w:lvl w:ilvl="2" w:tplc="040C001B" w:tentative="1">
      <w:start w:val="1"/>
      <w:numFmt w:val="lowerRoman"/>
      <w:lvlText w:val="%3."/>
      <w:lvlJc w:val="right"/>
      <w:pPr>
        <w:ind w:left="4298" w:hanging="180"/>
      </w:pPr>
    </w:lvl>
    <w:lvl w:ilvl="3" w:tplc="040C000F" w:tentative="1">
      <w:start w:val="1"/>
      <w:numFmt w:val="decimal"/>
      <w:lvlText w:val="%4."/>
      <w:lvlJc w:val="left"/>
      <w:pPr>
        <w:ind w:left="5018" w:hanging="360"/>
      </w:pPr>
    </w:lvl>
    <w:lvl w:ilvl="4" w:tplc="040C0019" w:tentative="1">
      <w:start w:val="1"/>
      <w:numFmt w:val="lowerLetter"/>
      <w:lvlText w:val="%5."/>
      <w:lvlJc w:val="left"/>
      <w:pPr>
        <w:ind w:left="5738" w:hanging="360"/>
      </w:pPr>
    </w:lvl>
    <w:lvl w:ilvl="5" w:tplc="040C001B" w:tentative="1">
      <w:start w:val="1"/>
      <w:numFmt w:val="lowerRoman"/>
      <w:lvlText w:val="%6."/>
      <w:lvlJc w:val="right"/>
      <w:pPr>
        <w:ind w:left="6458" w:hanging="180"/>
      </w:pPr>
    </w:lvl>
    <w:lvl w:ilvl="6" w:tplc="040C000F" w:tentative="1">
      <w:start w:val="1"/>
      <w:numFmt w:val="decimal"/>
      <w:lvlText w:val="%7."/>
      <w:lvlJc w:val="left"/>
      <w:pPr>
        <w:ind w:left="7178" w:hanging="360"/>
      </w:pPr>
    </w:lvl>
    <w:lvl w:ilvl="7" w:tplc="040C0019" w:tentative="1">
      <w:start w:val="1"/>
      <w:numFmt w:val="lowerLetter"/>
      <w:lvlText w:val="%8."/>
      <w:lvlJc w:val="left"/>
      <w:pPr>
        <w:ind w:left="7898" w:hanging="360"/>
      </w:pPr>
    </w:lvl>
    <w:lvl w:ilvl="8" w:tplc="040C001B" w:tentative="1">
      <w:start w:val="1"/>
      <w:numFmt w:val="lowerRoman"/>
      <w:lvlText w:val="%9."/>
      <w:lvlJc w:val="right"/>
      <w:pPr>
        <w:ind w:left="8618" w:hanging="180"/>
      </w:pPr>
    </w:lvl>
  </w:abstractNum>
  <w:abstractNum w:abstractNumId="11">
    <w:nsid w:val="14292C19"/>
    <w:multiLevelType w:val="hybridMultilevel"/>
    <w:tmpl w:val="0A98E14A"/>
    <w:lvl w:ilvl="0" w:tplc="2C005A42">
      <w:start w:val="1"/>
      <w:numFmt w:val="decimal"/>
      <w:lvlText w:val="%1."/>
      <w:lvlJc w:val="left"/>
      <w:pPr>
        <w:ind w:left="26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4617A99"/>
    <w:multiLevelType w:val="hybridMultilevel"/>
    <w:tmpl w:val="B4F82D4A"/>
    <w:lvl w:ilvl="0" w:tplc="D99484AC">
      <w:start w:val="1"/>
      <w:numFmt w:val="decimal"/>
      <w:lvlText w:val="%1."/>
      <w:lvlJc w:val="left"/>
      <w:pPr>
        <w:ind w:left="2628" w:hanging="360"/>
      </w:pPr>
      <w:rPr>
        <w:rFonts w:hint="default"/>
        <w:color w:val="171717" w:themeColor="background2" w:themeShade="1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5EA745F"/>
    <w:multiLevelType w:val="hybridMultilevel"/>
    <w:tmpl w:val="3F3AE306"/>
    <w:lvl w:ilvl="0" w:tplc="040C0017">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61726DE"/>
    <w:multiLevelType w:val="multilevel"/>
    <w:tmpl w:val="4A7A7922"/>
    <w:lvl w:ilvl="0">
      <w:start w:val="1"/>
      <w:numFmt w:val="decimal"/>
      <w:lvlText w:val="%1"/>
      <w:lvlJc w:val="left"/>
      <w:pPr>
        <w:ind w:left="720" w:hanging="360"/>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ascii="Calibri" w:hAnsi="Calibri" w:cs="Calibri" w:hint="default"/>
        <w:b w:val="0"/>
        <w:i/>
        <w:color w:val="7030A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16C656F2"/>
    <w:multiLevelType w:val="hybridMultilevel"/>
    <w:tmpl w:val="D988C7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ACE1A26"/>
    <w:multiLevelType w:val="hybridMultilevel"/>
    <w:tmpl w:val="E91A305A"/>
    <w:lvl w:ilvl="0" w:tplc="E7AC71B0">
      <w:start w:val="1"/>
      <w:numFmt w:val="upperLetter"/>
      <w:lvlText w:val="%1."/>
      <w:lvlJc w:val="left"/>
      <w:pPr>
        <w:ind w:left="502" w:hanging="360"/>
      </w:pPr>
      <w:rPr>
        <w:rFonts w:hint="default"/>
        <w:sz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7">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4AE507B"/>
    <w:multiLevelType w:val="hybridMultilevel"/>
    <w:tmpl w:val="832C9A8C"/>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555609B"/>
    <w:multiLevelType w:val="hybridMultilevel"/>
    <w:tmpl w:val="7EC247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5BB21D9"/>
    <w:multiLevelType w:val="hybridMultilevel"/>
    <w:tmpl w:val="D2301254"/>
    <w:lvl w:ilvl="0" w:tplc="99BC30B4">
      <w:start w:val="1"/>
      <w:numFmt w:val="lowerRoman"/>
      <w:lvlText w:val="%1."/>
      <w:lvlJc w:val="right"/>
      <w:pPr>
        <w:ind w:left="1004" w:hanging="360"/>
      </w:pPr>
      <w:rPr>
        <w:b/>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1">
    <w:nsid w:val="27B87D5C"/>
    <w:multiLevelType w:val="hybridMultilevel"/>
    <w:tmpl w:val="A106D57C"/>
    <w:lvl w:ilvl="0" w:tplc="6C44DE4C">
      <w:start w:val="1"/>
      <w:numFmt w:val="decimal"/>
      <w:lvlText w:val="(%1)."/>
      <w:lvlJc w:val="left"/>
      <w:pPr>
        <w:ind w:left="2138" w:hanging="360"/>
      </w:pPr>
      <w:rPr>
        <w:rFonts w:hint="default"/>
        <w:b w:val="0"/>
        <w:i w:val="0"/>
        <w:strike w:val="0"/>
        <w:dstrike w:val="0"/>
        <w:color w:val="000000"/>
        <w:sz w:val="16"/>
        <w:u w:val="none" w:color="000000"/>
        <w:bdr w:val="none" w:sz="0" w:space="0" w:color="auto"/>
        <w:shd w:val="clear" w:color="auto" w:fill="auto"/>
        <w:vertAlign w:val="baseline"/>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2">
    <w:nsid w:val="28CC51D5"/>
    <w:multiLevelType w:val="hybridMultilevel"/>
    <w:tmpl w:val="9AEE1F6C"/>
    <w:lvl w:ilvl="0" w:tplc="D700C1F4">
      <w:start w:val="1"/>
      <w:numFmt w:val="decimal"/>
      <w:lvlText w:val="(%1)."/>
      <w:lvlJc w:val="left"/>
      <w:pPr>
        <w:ind w:left="2138" w:hanging="360"/>
      </w:pPr>
      <w:rPr>
        <w:rFonts w:hint="default"/>
        <w:b w:val="0"/>
        <w:i w:val="0"/>
        <w:strike w:val="0"/>
        <w:dstrike w:val="0"/>
        <w:color w:val="000000"/>
        <w:sz w:val="16"/>
        <w:szCs w:val="16"/>
        <w:u w:val="none" w:color="000000"/>
        <w:bdr w:val="none" w:sz="0" w:space="0" w:color="auto"/>
        <w:shd w:val="clear" w:color="auto" w:fill="auto"/>
        <w:vertAlign w:val="baseline"/>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3">
    <w:nsid w:val="2D4C6D4A"/>
    <w:multiLevelType w:val="hybridMultilevel"/>
    <w:tmpl w:val="9B023582"/>
    <w:lvl w:ilvl="0" w:tplc="A95CE046">
      <w:start w:val="4"/>
      <w:numFmt w:val="upperRoman"/>
      <w:lvlText w:val="%1."/>
      <w:lvlJc w:val="left"/>
      <w:pPr>
        <w:ind w:left="896"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986929"/>
    <w:multiLevelType w:val="hybridMultilevel"/>
    <w:tmpl w:val="4986F8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22A3540"/>
    <w:multiLevelType w:val="hybridMultilevel"/>
    <w:tmpl w:val="3DD2270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3712B80"/>
    <w:multiLevelType w:val="hybridMultilevel"/>
    <w:tmpl w:val="EE6E87E6"/>
    <w:lvl w:ilvl="0" w:tplc="7AD23BD2">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3D35250"/>
    <w:multiLevelType w:val="hybridMultilevel"/>
    <w:tmpl w:val="F8EE59A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53B5D0A"/>
    <w:multiLevelType w:val="hybridMultilevel"/>
    <w:tmpl w:val="2F903428"/>
    <w:lvl w:ilvl="0" w:tplc="50EC012A">
      <w:start w:val="19"/>
      <w:numFmt w:val="bullet"/>
      <w:lvlText w:val="-"/>
      <w:lvlJc w:val="left"/>
      <w:pPr>
        <w:ind w:left="2628" w:hanging="360"/>
      </w:pPr>
      <w:rPr>
        <w:rFonts w:ascii="Calibri" w:eastAsia="Calibri" w:hAnsi="Calibri" w:cs="Times New Roman" w:hint="default"/>
        <w:b w:val="0"/>
        <w:i/>
        <w:strike w:val="0"/>
        <w:dstrike w:val="0"/>
        <w:color w:val="auto"/>
        <w:sz w:val="20"/>
        <w:u w:val="none" w:color="000000"/>
        <w:bdr w:val="none" w:sz="0" w:space="0" w:color="auto"/>
        <w:shd w:val="clear" w:color="auto" w:fill="auto"/>
        <w:vertAlign w:val="baseline"/>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29">
    <w:nsid w:val="362272E5"/>
    <w:multiLevelType w:val="hybridMultilevel"/>
    <w:tmpl w:val="C5D8736C"/>
    <w:lvl w:ilvl="0" w:tplc="6D3055BC">
      <w:start w:val="1"/>
      <w:numFmt w:val="lowerLetter"/>
      <w:lvlText w:val="%1)"/>
      <w:lvlJc w:val="left"/>
      <w:pPr>
        <w:ind w:left="710"/>
      </w:pPr>
      <w:rPr>
        <w:rFonts w:ascii="Calibri" w:eastAsia="Times New Roman" w:hAnsi="Calibri" w:cs="Calibri" w:hint="default"/>
        <w:b/>
        <w:i/>
        <w:strike w:val="0"/>
        <w:dstrike w:val="0"/>
        <w:color w:val="000000"/>
        <w:sz w:val="22"/>
        <w:u w:val="none" w:color="000000"/>
        <w:bdr w:val="none" w:sz="0" w:space="0" w:color="auto"/>
        <w:shd w:val="clear" w:color="auto" w:fill="auto"/>
        <w:vertAlign w:val="baseline"/>
      </w:rPr>
    </w:lvl>
    <w:lvl w:ilvl="1" w:tplc="569E4856">
      <w:start w:val="1"/>
      <w:numFmt w:val="lowerLetter"/>
      <w:lvlText w:val="%2"/>
      <w:lvlJc w:val="left"/>
      <w:pPr>
        <w:ind w:left="133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5DF4E004">
      <w:start w:val="1"/>
      <w:numFmt w:val="lowerRoman"/>
      <w:lvlText w:val="%3"/>
      <w:lvlJc w:val="left"/>
      <w:pPr>
        <w:ind w:left="205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BC7C912C">
      <w:start w:val="1"/>
      <w:numFmt w:val="decimal"/>
      <w:lvlText w:val="%4"/>
      <w:lvlJc w:val="left"/>
      <w:pPr>
        <w:ind w:left="277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C8D2A66C">
      <w:start w:val="1"/>
      <w:numFmt w:val="lowerLetter"/>
      <w:lvlText w:val="%5"/>
      <w:lvlJc w:val="left"/>
      <w:pPr>
        <w:ind w:left="349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15D85FD4">
      <w:start w:val="1"/>
      <w:numFmt w:val="lowerRoman"/>
      <w:lvlText w:val="%6"/>
      <w:lvlJc w:val="left"/>
      <w:pPr>
        <w:ind w:left="421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A1942668">
      <w:start w:val="1"/>
      <w:numFmt w:val="decimal"/>
      <w:lvlText w:val="%7"/>
      <w:lvlJc w:val="left"/>
      <w:pPr>
        <w:ind w:left="493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B716797C">
      <w:start w:val="1"/>
      <w:numFmt w:val="lowerLetter"/>
      <w:lvlText w:val="%8"/>
      <w:lvlJc w:val="left"/>
      <w:pPr>
        <w:ind w:left="565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2D0444AA">
      <w:start w:val="1"/>
      <w:numFmt w:val="lowerRoman"/>
      <w:lvlText w:val="%9"/>
      <w:lvlJc w:val="left"/>
      <w:pPr>
        <w:ind w:left="637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30">
    <w:nsid w:val="36D07AF0"/>
    <w:multiLevelType w:val="hybridMultilevel"/>
    <w:tmpl w:val="5D2605BC"/>
    <w:lvl w:ilvl="0" w:tplc="50EC012A">
      <w:start w:val="19"/>
      <w:numFmt w:val="bullet"/>
      <w:lvlText w:val="-"/>
      <w:lvlJc w:val="left"/>
      <w:pPr>
        <w:ind w:left="720" w:hanging="360"/>
      </w:pPr>
      <w:rPr>
        <w:rFonts w:ascii="Calibri" w:eastAsia="Calibri" w:hAnsi="Calibri"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1C573A4"/>
    <w:multiLevelType w:val="hybridMultilevel"/>
    <w:tmpl w:val="8158A67A"/>
    <w:lvl w:ilvl="0" w:tplc="6FDEF510">
      <w:start w:val="2"/>
      <w:numFmt w:val="bullet"/>
      <w:lvlText w:val="-"/>
      <w:lvlJc w:val="left"/>
      <w:pPr>
        <w:ind w:left="720" w:hanging="360"/>
      </w:pPr>
      <w:rPr>
        <w:rFonts w:ascii="Arial" w:eastAsia="Times New Roman" w:hAnsi="Arial" w:cs="Arial" w:hint="default"/>
        <w:color w:val="E7E6E6"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431574E"/>
    <w:multiLevelType w:val="hybridMultilevel"/>
    <w:tmpl w:val="2B56D450"/>
    <w:lvl w:ilvl="0" w:tplc="040C0009">
      <w:start w:val="1"/>
      <w:numFmt w:val="bullet"/>
      <w:lvlText w:val=""/>
      <w:lvlJc w:val="left"/>
      <w:pPr>
        <w:ind w:left="1648" w:hanging="360"/>
      </w:pPr>
      <w:rPr>
        <w:rFonts w:ascii="Wingdings" w:hAnsi="Wingdings" w:hint="default"/>
        <w:b w:val="0"/>
        <w:i w:val="0"/>
        <w:color w:val="auto"/>
        <w:sz w:val="24"/>
      </w:rPr>
    </w:lvl>
    <w:lvl w:ilvl="1" w:tplc="040C0019" w:tentative="1">
      <w:start w:val="1"/>
      <w:numFmt w:val="lowerLetter"/>
      <w:lvlText w:val="%2."/>
      <w:lvlJc w:val="left"/>
      <w:pPr>
        <w:ind w:left="2368" w:hanging="360"/>
      </w:pPr>
    </w:lvl>
    <w:lvl w:ilvl="2" w:tplc="040C001B" w:tentative="1">
      <w:start w:val="1"/>
      <w:numFmt w:val="lowerRoman"/>
      <w:lvlText w:val="%3."/>
      <w:lvlJc w:val="right"/>
      <w:pPr>
        <w:ind w:left="3088" w:hanging="180"/>
      </w:pPr>
    </w:lvl>
    <w:lvl w:ilvl="3" w:tplc="040C000F" w:tentative="1">
      <w:start w:val="1"/>
      <w:numFmt w:val="decimal"/>
      <w:lvlText w:val="%4."/>
      <w:lvlJc w:val="left"/>
      <w:pPr>
        <w:ind w:left="3808" w:hanging="360"/>
      </w:pPr>
    </w:lvl>
    <w:lvl w:ilvl="4" w:tplc="040C0019" w:tentative="1">
      <w:start w:val="1"/>
      <w:numFmt w:val="lowerLetter"/>
      <w:lvlText w:val="%5."/>
      <w:lvlJc w:val="left"/>
      <w:pPr>
        <w:ind w:left="4528" w:hanging="360"/>
      </w:pPr>
    </w:lvl>
    <w:lvl w:ilvl="5" w:tplc="040C001B" w:tentative="1">
      <w:start w:val="1"/>
      <w:numFmt w:val="lowerRoman"/>
      <w:lvlText w:val="%6."/>
      <w:lvlJc w:val="right"/>
      <w:pPr>
        <w:ind w:left="5248" w:hanging="180"/>
      </w:pPr>
    </w:lvl>
    <w:lvl w:ilvl="6" w:tplc="040C000F" w:tentative="1">
      <w:start w:val="1"/>
      <w:numFmt w:val="decimal"/>
      <w:lvlText w:val="%7."/>
      <w:lvlJc w:val="left"/>
      <w:pPr>
        <w:ind w:left="5968" w:hanging="360"/>
      </w:pPr>
    </w:lvl>
    <w:lvl w:ilvl="7" w:tplc="040C0019" w:tentative="1">
      <w:start w:val="1"/>
      <w:numFmt w:val="lowerLetter"/>
      <w:lvlText w:val="%8."/>
      <w:lvlJc w:val="left"/>
      <w:pPr>
        <w:ind w:left="6688" w:hanging="360"/>
      </w:pPr>
    </w:lvl>
    <w:lvl w:ilvl="8" w:tplc="040C001B" w:tentative="1">
      <w:start w:val="1"/>
      <w:numFmt w:val="lowerRoman"/>
      <w:lvlText w:val="%9."/>
      <w:lvlJc w:val="right"/>
      <w:pPr>
        <w:ind w:left="7408" w:hanging="180"/>
      </w:pPr>
    </w:lvl>
  </w:abstractNum>
  <w:abstractNum w:abstractNumId="33">
    <w:nsid w:val="44DF7024"/>
    <w:multiLevelType w:val="hybridMultilevel"/>
    <w:tmpl w:val="BCE427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70B2579"/>
    <w:multiLevelType w:val="hybridMultilevel"/>
    <w:tmpl w:val="9CA00FEE"/>
    <w:lvl w:ilvl="0" w:tplc="4C304898">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8104599"/>
    <w:multiLevelType w:val="hybridMultilevel"/>
    <w:tmpl w:val="4BAC78A4"/>
    <w:lvl w:ilvl="0" w:tplc="037AADD6">
      <w:start w:val="1"/>
      <w:numFmt w:val="lowerLetter"/>
      <w:lvlText w:val="%1)"/>
      <w:lvlJc w:val="left"/>
      <w:pPr>
        <w:ind w:left="710" w:firstLine="0"/>
      </w:pPr>
      <w:rPr>
        <w:rFonts w:ascii="Calibri" w:eastAsia="Times New Roman" w:hAnsi="Calibri" w:cs="Calibri" w:hint="default"/>
        <w:b/>
        <w:i/>
        <w:strike w:val="0"/>
        <w:dstrike w:val="0"/>
        <w:color w:val="000000"/>
        <w:sz w:val="22"/>
        <w:u w:val="none" w:color="000000"/>
        <w:vertAlign w:val="baseline"/>
      </w:rPr>
    </w:lvl>
    <w:lvl w:ilvl="1" w:tplc="8D043750">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4B0D6558"/>
    <w:multiLevelType w:val="hybridMultilevel"/>
    <w:tmpl w:val="6832AF1A"/>
    <w:lvl w:ilvl="0" w:tplc="040C0011">
      <w:start w:val="1"/>
      <w:numFmt w:val="decimal"/>
      <w:lvlText w:val="%1)"/>
      <w:lvlJc w:val="left"/>
      <w:pPr>
        <w:ind w:left="786" w:hanging="360"/>
      </w:pPr>
      <w:rPr>
        <w:rFonts w:hint="default"/>
        <w:sz w:val="2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7">
    <w:nsid w:val="4D237FC5"/>
    <w:multiLevelType w:val="hybridMultilevel"/>
    <w:tmpl w:val="09A42A78"/>
    <w:lvl w:ilvl="0" w:tplc="EE4C5880">
      <w:numFmt w:val="bullet"/>
      <w:lvlText w:val="-"/>
      <w:lvlJc w:val="left"/>
      <w:pPr>
        <w:ind w:left="735" w:hanging="360"/>
      </w:pPr>
      <w:rPr>
        <w:rFonts w:ascii="Arial" w:eastAsia="Times New Roman" w:hAnsi="Arial" w:cs="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38">
    <w:nsid w:val="4DBD087D"/>
    <w:multiLevelType w:val="hybridMultilevel"/>
    <w:tmpl w:val="540806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FE831F2"/>
    <w:multiLevelType w:val="hybridMultilevel"/>
    <w:tmpl w:val="B044C1DC"/>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3147F54"/>
    <w:multiLevelType w:val="hybridMultilevel"/>
    <w:tmpl w:val="C0389B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3E828A0"/>
    <w:multiLevelType w:val="hybridMultilevel"/>
    <w:tmpl w:val="6DC6D690"/>
    <w:lvl w:ilvl="0" w:tplc="EE4C5880">
      <w:numFmt w:val="bullet"/>
      <w:lvlText w:val="-"/>
      <w:lvlJc w:val="left"/>
      <w:pPr>
        <w:ind w:left="735" w:hanging="360"/>
      </w:pPr>
      <w:rPr>
        <w:rFonts w:ascii="Arial" w:eastAsia="Times New Roman" w:hAnsi="Arial" w:cs="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42">
    <w:nsid w:val="553E6A52"/>
    <w:multiLevelType w:val="hybridMultilevel"/>
    <w:tmpl w:val="D3C84492"/>
    <w:lvl w:ilvl="0" w:tplc="040C0001">
      <w:start w:val="1"/>
      <w:numFmt w:val="bullet"/>
      <w:lvlText w:val=""/>
      <w:lvlJc w:val="left"/>
      <w:pPr>
        <w:ind w:left="1287" w:hanging="360"/>
      </w:pPr>
      <w:rPr>
        <w:rFonts w:ascii="Symbol" w:hAnsi="Symbol" w:hint="default"/>
      </w:rPr>
    </w:lvl>
    <w:lvl w:ilvl="1" w:tplc="C958D3A2">
      <w:start w:val="1"/>
      <w:numFmt w:val="lowerLetter"/>
      <w:lvlText w:val="%2)"/>
      <w:lvlJc w:val="left"/>
      <w:pPr>
        <w:ind w:left="2007" w:hanging="360"/>
      </w:pPr>
      <w:rPr>
        <w:rFonts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3">
    <w:nsid w:val="56415086"/>
    <w:multiLevelType w:val="hybridMultilevel"/>
    <w:tmpl w:val="A1FA690E"/>
    <w:lvl w:ilvl="0" w:tplc="C2CCAA56">
      <w:start w:val="1"/>
      <w:numFmt w:val="bullet"/>
      <w:lvlText w:val="▪"/>
      <w:lvlJc w:val="left"/>
      <w:pPr>
        <w:ind w:left="2138" w:hanging="3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1" w:tplc="A40AAB06">
      <w:start w:val="1"/>
      <w:numFmt w:val="decimal"/>
      <w:lvlText w:val="(%2)."/>
      <w:lvlJc w:val="left"/>
      <w:pPr>
        <w:ind w:left="1353" w:hanging="360"/>
      </w:pPr>
      <w:rPr>
        <w:rFonts w:hint="default"/>
        <w:sz w:val="16"/>
        <w:szCs w:val="16"/>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44">
    <w:nsid w:val="57C30C5D"/>
    <w:multiLevelType w:val="hybridMultilevel"/>
    <w:tmpl w:val="9822F64A"/>
    <w:lvl w:ilvl="0" w:tplc="0BA653F4">
      <w:start w:val="1"/>
      <w:numFmt w:val="lowerLetter"/>
      <w:lvlText w:val="%1)"/>
      <w:lvlJc w:val="left"/>
      <w:pPr>
        <w:ind w:left="1070" w:hanging="360"/>
      </w:pPr>
      <w:rPr>
        <w:rFonts w:ascii="Calibri" w:hAnsi="Calibri" w:cs="Calibri" w:hint="default"/>
        <w:b/>
        <w:i/>
        <w:sz w:val="22"/>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5">
    <w:nsid w:val="59153558"/>
    <w:multiLevelType w:val="hybridMultilevel"/>
    <w:tmpl w:val="E01E8286"/>
    <w:lvl w:ilvl="0" w:tplc="52B0998E">
      <w:start w:val="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AF00034"/>
    <w:multiLevelType w:val="hybridMultilevel"/>
    <w:tmpl w:val="444EE1C6"/>
    <w:lvl w:ilvl="0" w:tplc="C2083E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BFC1FA7"/>
    <w:multiLevelType w:val="hybridMultilevel"/>
    <w:tmpl w:val="72628D64"/>
    <w:lvl w:ilvl="0" w:tplc="040C0017">
      <w:start w:val="1"/>
      <w:numFmt w:val="lowerLetter"/>
      <w:lvlText w:val="%1)"/>
      <w:lvlJc w:val="left"/>
      <w:pPr>
        <w:ind w:left="720" w:hanging="360"/>
      </w:pPr>
    </w:lvl>
    <w:lvl w:ilvl="1" w:tplc="966EA7D8">
      <w:start w:val="1"/>
      <w:numFmt w:val="decimal"/>
      <w:lvlText w:val="%2."/>
      <w:lvlJc w:val="left"/>
      <w:pPr>
        <w:ind w:left="1440" w:hanging="360"/>
      </w:pPr>
      <w:rPr>
        <w:rFonts w:hint="default"/>
        <w:color w:val="171717" w:themeColor="background2" w:themeShade="1A"/>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C561840"/>
    <w:multiLevelType w:val="hybridMultilevel"/>
    <w:tmpl w:val="E624A67A"/>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EC44AFD"/>
    <w:multiLevelType w:val="hybridMultilevel"/>
    <w:tmpl w:val="E69A5886"/>
    <w:lvl w:ilvl="0" w:tplc="6FDEF510">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65BE6D3C"/>
    <w:multiLevelType w:val="hybridMultilevel"/>
    <w:tmpl w:val="2B6674F6"/>
    <w:lvl w:ilvl="0" w:tplc="87AEB614">
      <w:start w:val="1"/>
      <w:numFmt w:val="decimal"/>
      <w:lvlText w:val="(%1)."/>
      <w:lvlJc w:val="left"/>
      <w:pPr>
        <w:ind w:left="2138" w:hanging="360"/>
      </w:pPr>
      <w:rPr>
        <w:rFonts w:hint="default"/>
        <w:b w:val="0"/>
        <w:i/>
        <w:strike w:val="0"/>
        <w:dstrike w:val="0"/>
        <w:color w:val="auto"/>
        <w:sz w:val="16"/>
        <w:szCs w:val="16"/>
        <w:u w:val="none" w:color="000000"/>
        <w:bdr w:val="none" w:sz="0" w:space="0" w:color="auto"/>
        <w:shd w:val="clear" w:color="auto" w:fill="auto"/>
        <w:vertAlign w:val="baseline"/>
      </w:rPr>
    </w:lvl>
    <w:lvl w:ilvl="1" w:tplc="040C0003">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51">
    <w:nsid w:val="6A7553A6"/>
    <w:multiLevelType w:val="multilevel"/>
    <w:tmpl w:val="0972D2F2"/>
    <w:lvl w:ilvl="0">
      <w:start w:val="1"/>
      <w:numFmt w:val="upperRoman"/>
      <w:lvlText w:val="%1."/>
      <w:lvlJc w:val="left"/>
      <w:pPr>
        <w:ind w:left="862" w:hanging="720"/>
      </w:pPr>
      <w:rPr>
        <w:rFonts w:hint="default"/>
        <w:i w:val="0"/>
        <w:sz w:val="28"/>
        <w:szCs w:val="28"/>
      </w:rPr>
    </w:lvl>
    <w:lvl w:ilvl="1">
      <w:start w:val="2"/>
      <w:numFmt w:val="decimal"/>
      <w:isLgl/>
      <w:lvlText w:val="%1.%2."/>
      <w:lvlJc w:val="left"/>
      <w:pPr>
        <w:ind w:left="1216" w:hanging="72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2284" w:hanging="1080"/>
      </w:pPr>
      <w:rPr>
        <w:rFonts w:hint="default"/>
      </w:rPr>
    </w:lvl>
    <w:lvl w:ilvl="4">
      <w:start w:val="1"/>
      <w:numFmt w:val="decimal"/>
      <w:isLgl/>
      <w:lvlText w:val="%1.%2.%3.%4.%5."/>
      <w:lvlJc w:val="left"/>
      <w:pPr>
        <w:ind w:left="2998" w:hanging="1440"/>
      </w:pPr>
      <w:rPr>
        <w:rFonts w:hint="default"/>
      </w:rPr>
    </w:lvl>
    <w:lvl w:ilvl="5">
      <w:start w:val="1"/>
      <w:numFmt w:val="decimal"/>
      <w:isLgl/>
      <w:lvlText w:val="%1.%2.%3.%4.%5.%6."/>
      <w:lvlJc w:val="left"/>
      <w:pPr>
        <w:ind w:left="3352" w:hanging="1440"/>
      </w:pPr>
      <w:rPr>
        <w:rFonts w:hint="default"/>
      </w:rPr>
    </w:lvl>
    <w:lvl w:ilvl="6">
      <w:start w:val="1"/>
      <w:numFmt w:val="decimal"/>
      <w:isLgl/>
      <w:lvlText w:val="%1.%2.%3.%4.%5.%6.%7."/>
      <w:lvlJc w:val="left"/>
      <w:pPr>
        <w:ind w:left="4066" w:hanging="1800"/>
      </w:pPr>
      <w:rPr>
        <w:rFonts w:hint="default"/>
      </w:rPr>
    </w:lvl>
    <w:lvl w:ilvl="7">
      <w:start w:val="1"/>
      <w:numFmt w:val="decimal"/>
      <w:isLgl/>
      <w:lvlText w:val="%1.%2.%3.%4.%5.%6.%7.%8."/>
      <w:lvlJc w:val="left"/>
      <w:pPr>
        <w:ind w:left="4420" w:hanging="1800"/>
      </w:pPr>
      <w:rPr>
        <w:rFonts w:hint="default"/>
      </w:rPr>
    </w:lvl>
    <w:lvl w:ilvl="8">
      <w:start w:val="1"/>
      <w:numFmt w:val="decimal"/>
      <w:isLgl/>
      <w:lvlText w:val="%1.%2.%3.%4.%5.%6.%7.%8.%9."/>
      <w:lvlJc w:val="left"/>
      <w:pPr>
        <w:ind w:left="5134" w:hanging="2160"/>
      </w:pPr>
      <w:rPr>
        <w:rFonts w:hint="default"/>
      </w:rPr>
    </w:lvl>
  </w:abstractNum>
  <w:abstractNum w:abstractNumId="52">
    <w:nsid w:val="6A8124A3"/>
    <w:multiLevelType w:val="hybridMultilevel"/>
    <w:tmpl w:val="7BDC2358"/>
    <w:lvl w:ilvl="0" w:tplc="2A50AF2A">
      <w:start w:val="1"/>
      <w:numFmt w:val="decimal"/>
      <w:lvlText w:val="(%1)."/>
      <w:lvlJc w:val="left"/>
      <w:pPr>
        <w:ind w:left="720" w:hanging="360"/>
      </w:pPr>
      <w:rPr>
        <w:rFonts w:hint="default"/>
        <w:i/>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6A9D5BF0"/>
    <w:multiLevelType w:val="hybridMultilevel"/>
    <w:tmpl w:val="A8786C82"/>
    <w:lvl w:ilvl="0" w:tplc="EE4C5880">
      <w:numFmt w:val="bullet"/>
      <w:lvlText w:val="-"/>
      <w:lvlJc w:val="left"/>
      <w:pPr>
        <w:ind w:left="3414" w:hanging="360"/>
      </w:pPr>
      <w:rPr>
        <w:rFonts w:ascii="Arial" w:eastAsia="Times New Roman" w:hAnsi="Arial" w:cs="Arial" w:hint="default"/>
      </w:rPr>
    </w:lvl>
    <w:lvl w:ilvl="1" w:tplc="040C0003" w:tentative="1">
      <w:start w:val="1"/>
      <w:numFmt w:val="bullet"/>
      <w:lvlText w:val="o"/>
      <w:lvlJc w:val="left"/>
      <w:pPr>
        <w:ind w:left="4134" w:hanging="360"/>
      </w:pPr>
      <w:rPr>
        <w:rFonts w:ascii="Courier New" w:hAnsi="Courier New" w:cs="Courier New" w:hint="default"/>
      </w:rPr>
    </w:lvl>
    <w:lvl w:ilvl="2" w:tplc="040C0005" w:tentative="1">
      <w:start w:val="1"/>
      <w:numFmt w:val="bullet"/>
      <w:lvlText w:val=""/>
      <w:lvlJc w:val="left"/>
      <w:pPr>
        <w:ind w:left="4854" w:hanging="360"/>
      </w:pPr>
      <w:rPr>
        <w:rFonts w:ascii="Wingdings" w:hAnsi="Wingdings" w:hint="default"/>
      </w:rPr>
    </w:lvl>
    <w:lvl w:ilvl="3" w:tplc="040C0001" w:tentative="1">
      <w:start w:val="1"/>
      <w:numFmt w:val="bullet"/>
      <w:lvlText w:val=""/>
      <w:lvlJc w:val="left"/>
      <w:pPr>
        <w:ind w:left="5574" w:hanging="360"/>
      </w:pPr>
      <w:rPr>
        <w:rFonts w:ascii="Symbol" w:hAnsi="Symbol" w:hint="default"/>
      </w:rPr>
    </w:lvl>
    <w:lvl w:ilvl="4" w:tplc="040C0003" w:tentative="1">
      <w:start w:val="1"/>
      <w:numFmt w:val="bullet"/>
      <w:lvlText w:val="o"/>
      <w:lvlJc w:val="left"/>
      <w:pPr>
        <w:ind w:left="6294" w:hanging="360"/>
      </w:pPr>
      <w:rPr>
        <w:rFonts w:ascii="Courier New" w:hAnsi="Courier New" w:cs="Courier New" w:hint="default"/>
      </w:rPr>
    </w:lvl>
    <w:lvl w:ilvl="5" w:tplc="040C0005" w:tentative="1">
      <w:start w:val="1"/>
      <w:numFmt w:val="bullet"/>
      <w:lvlText w:val=""/>
      <w:lvlJc w:val="left"/>
      <w:pPr>
        <w:ind w:left="7014" w:hanging="360"/>
      </w:pPr>
      <w:rPr>
        <w:rFonts w:ascii="Wingdings" w:hAnsi="Wingdings" w:hint="default"/>
      </w:rPr>
    </w:lvl>
    <w:lvl w:ilvl="6" w:tplc="040C0001" w:tentative="1">
      <w:start w:val="1"/>
      <w:numFmt w:val="bullet"/>
      <w:lvlText w:val=""/>
      <w:lvlJc w:val="left"/>
      <w:pPr>
        <w:ind w:left="7734" w:hanging="360"/>
      </w:pPr>
      <w:rPr>
        <w:rFonts w:ascii="Symbol" w:hAnsi="Symbol" w:hint="default"/>
      </w:rPr>
    </w:lvl>
    <w:lvl w:ilvl="7" w:tplc="040C0003" w:tentative="1">
      <w:start w:val="1"/>
      <w:numFmt w:val="bullet"/>
      <w:lvlText w:val="o"/>
      <w:lvlJc w:val="left"/>
      <w:pPr>
        <w:ind w:left="8454" w:hanging="360"/>
      </w:pPr>
      <w:rPr>
        <w:rFonts w:ascii="Courier New" w:hAnsi="Courier New" w:cs="Courier New" w:hint="default"/>
      </w:rPr>
    </w:lvl>
    <w:lvl w:ilvl="8" w:tplc="040C0005" w:tentative="1">
      <w:start w:val="1"/>
      <w:numFmt w:val="bullet"/>
      <w:lvlText w:val=""/>
      <w:lvlJc w:val="left"/>
      <w:pPr>
        <w:ind w:left="9174" w:hanging="360"/>
      </w:pPr>
      <w:rPr>
        <w:rFonts w:ascii="Wingdings" w:hAnsi="Wingdings" w:hint="default"/>
      </w:rPr>
    </w:lvl>
  </w:abstractNum>
  <w:abstractNum w:abstractNumId="54">
    <w:nsid w:val="6BE03D75"/>
    <w:multiLevelType w:val="hybridMultilevel"/>
    <w:tmpl w:val="CCAC679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6C0C48F4"/>
    <w:multiLevelType w:val="hybridMultilevel"/>
    <w:tmpl w:val="779C3778"/>
    <w:lvl w:ilvl="0" w:tplc="988003F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6">
    <w:nsid w:val="6C874493"/>
    <w:multiLevelType w:val="hybridMultilevel"/>
    <w:tmpl w:val="ACAA80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DB63B76"/>
    <w:multiLevelType w:val="hybridMultilevel"/>
    <w:tmpl w:val="E488E2B6"/>
    <w:lvl w:ilvl="0" w:tplc="8224091C">
      <w:start w:val="1"/>
      <w:numFmt w:val="lowerLetter"/>
      <w:lvlText w:val="%1."/>
      <w:lvlJc w:val="left"/>
      <w:pPr>
        <w:ind w:left="2345" w:hanging="360"/>
      </w:pPr>
      <w:rPr>
        <w:rFonts w:hint="default"/>
        <w:b/>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58">
    <w:nsid w:val="6F822B42"/>
    <w:multiLevelType w:val="hybridMultilevel"/>
    <w:tmpl w:val="6992966E"/>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03150FF"/>
    <w:multiLevelType w:val="hybridMultilevel"/>
    <w:tmpl w:val="31CE3424"/>
    <w:lvl w:ilvl="0" w:tplc="040C000D">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0">
    <w:nsid w:val="730B47A0"/>
    <w:multiLevelType w:val="hybridMultilevel"/>
    <w:tmpl w:val="FDD0CB98"/>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5FB6711"/>
    <w:multiLevelType w:val="hybridMultilevel"/>
    <w:tmpl w:val="77AA4BBE"/>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F62C2C"/>
    <w:multiLevelType w:val="hybridMultilevel"/>
    <w:tmpl w:val="735894DE"/>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7DBB3B3C"/>
    <w:multiLevelType w:val="hybridMultilevel"/>
    <w:tmpl w:val="5BC8981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7E054E52"/>
    <w:multiLevelType w:val="hybridMultilevel"/>
    <w:tmpl w:val="E418EB86"/>
    <w:lvl w:ilvl="0" w:tplc="EE4C58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E056B4D"/>
    <w:multiLevelType w:val="hybridMultilevel"/>
    <w:tmpl w:val="58AAD4A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0"/>
  </w:num>
  <w:num w:numId="2">
    <w:abstractNumId w:val="57"/>
  </w:num>
  <w:num w:numId="3">
    <w:abstractNumId w:val="53"/>
  </w:num>
  <w:num w:numId="4">
    <w:abstractNumId w:val="51"/>
  </w:num>
  <w:num w:numId="5">
    <w:abstractNumId w:val="33"/>
  </w:num>
  <w:num w:numId="6">
    <w:abstractNumId w:val="25"/>
  </w:num>
  <w:num w:numId="7">
    <w:abstractNumId w:val="54"/>
  </w:num>
  <w:num w:numId="8">
    <w:abstractNumId w:val="41"/>
  </w:num>
  <w:num w:numId="9">
    <w:abstractNumId w:val="37"/>
  </w:num>
  <w:num w:numId="10">
    <w:abstractNumId w:val="6"/>
  </w:num>
  <w:num w:numId="11">
    <w:abstractNumId w:val="58"/>
  </w:num>
  <w:num w:numId="12">
    <w:abstractNumId w:val="4"/>
  </w:num>
  <w:num w:numId="13">
    <w:abstractNumId w:val="11"/>
  </w:num>
  <w:num w:numId="14">
    <w:abstractNumId w:val="23"/>
  </w:num>
  <w:num w:numId="15">
    <w:abstractNumId w:val="29"/>
  </w:num>
  <w:num w:numId="16">
    <w:abstractNumId w:val="14"/>
  </w:num>
  <w:num w:numId="17">
    <w:abstractNumId w:val="30"/>
  </w:num>
  <w:num w:numId="18">
    <w:abstractNumId w:val="52"/>
  </w:num>
  <w:num w:numId="19">
    <w:abstractNumId w:val="5"/>
  </w:num>
  <w:num w:numId="20">
    <w:abstractNumId w:val="22"/>
  </w:num>
  <w:num w:numId="21">
    <w:abstractNumId w:val="21"/>
  </w:num>
  <w:num w:numId="22">
    <w:abstractNumId w:val="43"/>
  </w:num>
  <w:num w:numId="23">
    <w:abstractNumId w:val="10"/>
  </w:num>
  <w:num w:numId="24">
    <w:abstractNumId w:val="50"/>
  </w:num>
  <w:num w:numId="25">
    <w:abstractNumId w:val="59"/>
  </w:num>
  <w:num w:numId="26">
    <w:abstractNumId w:val="44"/>
  </w:num>
  <w:num w:numId="27">
    <w:abstractNumId w:val="28"/>
  </w:num>
  <w:num w:numId="28">
    <w:abstractNumId w:val="35"/>
  </w:num>
  <w:num w:numId="29">
    <w:abstractNumId w:val="18"/>
  </w:num>
  <w:num w:numId="30">
    <w:abstractNumId w:val="64"/>
  </w:num>
  <w:num w:numId="31">
    <w:abstractNumId w:val="61"/>
  </w:num>
  <w:num w:numId="32">
    <w:abstractNumId w:val="60"/>
  </w:num>
  <w:num w:numId="33">
    <w:abstractNumId w:val="3"/>
  </w:num>
  <w:num w:numId="34">
    <w:abstractNumId w:val="65"/>
  </w:num>
  <w:num w:numId="35">
    <w:abstractNumId w:val="2"/>
  </w:num>
  <w:num w:numId="36">
    <w:abstractNumId w:val="47"/>
  </w:num>
  <w:num w:numId="37">
    <w:abstractNumId w:val="8"/>
  </w:num>
  <w:num w:numId="38">
    <w:abstractNumId w:val="17"/>
  </w:num>
  <w:num w:numId="39">
    <w:abstractNumId w:val="46"/>
  </w:num>
  <w:num w:numId="40">
    <w:abstractNumId w:val="20"/>
  </w:num>
  <w:num w:numId="41">
    <w:abstractNumId w:val="15"/>
  </w:num>
  <w:num w:numId="42">
    <w:abstractNumId w:val="9"/>
  </w:num>
  <w:num w:numId="43">
    <w:abstractNumId w:val="19"/>
  </w:num>
  <w:num w:numId="44">
    <w:abstractNumId w:val="34"/>
  </w:num>
  <w:num w:numId="45">
    <w:abstractNumId w:val="24"/>
  </w:num>
  <w:num w:numId="46">
    <w:abstractNumId w:val="32"/>
  </w:num>
  <w:num w:numId="47">
    <w:abstractNumId w:val="55"/>
  </w:num>
  <w:num w:numId="48">
    <w:abstractNumId w:val="39"/>
  </w:num>
  <w:num w:numId="49">
    <w:abstractNumId w:val="62"/>
  </w:num>
  <w:num w:numId="50">
    <w:abstractNumId w:val="36"/>
  </w:num>
  <w:num w:numId="51">
    <w:abstractNumId w:val="27"/>
  </w:num>
  <w:num w:numId="52">
    <w:abstractNumId w:val="49"/>
  </w:num>
  <w:num w:numId="53">
    <w:abstractNumId w:val="38"/>
  </w:num>
  <w:num w:numId="54">
    <w:abstractNumId w:val="16"/>
  </w:num>
  <w:num w:numId="55">
    <w:abstractNumId w:val="56"/>
  </w:num>
  <w:num w:numId="56">
    <w:abstractNumId w:val="42"/>
  </w:num>
  <w:num w:numId="57">
    <w:abstractNumId w:val="0"/>
  </w:num>
  <w:num w:numId="58">
    <w:abstractNumId w:val="48"/>
  </w:num>
  <w:num w:numId="59">
    <w:abstractNumId w:val="7"/>
  </w:num>
  <w:num w:numId="60">
    <w:abstractNumId w:val="31"/>
  </w:num>
  <w:num w:numId="61">
    <w:abstractNumId w:val="1"/>
  </w:num>
  <w:num w:numId="62">
    <w:abstractNumId w:val="45"/>
  </w:num>
  <w:num w:numId="63">
    <w:abstractNumId w:val="13"/>
  </w:num>
  <w:num w:numId="64">
    <w:abstractNumId w:val="26"/>
  </w:num>
  <w:num w:numId="65">
    <w:abstractNumId w:val="63"/>
  </w:num>
  <w:num w:numId="66">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DE"/>
    <w:rsid w:val="00002ED3"/>
    <w:rsid w:val="00004F65"/>
    <w:rsid w:val="00005C6E"/>
    <w:rsid w:val="00032121"/>
    <w:rsid w:val="0003496C"/>
    <w:rsid w:val="00036088"/>
    <w:rsid w:val="0004223F"/>
    <w:rsid w:val="00051E32"/>
    <w:rsid w:val="000542AE"/>
    <w:rsid w:val="00056B07"/>
    <w:rsid w:val="000668F9"/>
    <w:rsid w:val="00070F0B"/>
    <w:rsid w:val="000738D3"/>
    <w:rsid w:val="00092F1D"/>
    <w:rsid w:val="000B411F"/>
    <w:rsid w:val="000B5866"/>
    <w:rsid w:val="000C6680"/>
    <w:rsid w:val="000E000A"/>
    <w:rsid w:val="000E4FC8"/>
    <w:rsid w:val="000F6775"/>
    <w:rsid w:val="00105074"/>
    <w:rsid w:val="00105502"/>
    <w:rsid w:val="00110AE7"/>
    <w:rsid w:val="00112CA3"/>
    <w:rsid w:val="001315A1"/>
    <w:rsid w:val="00137E62"/>
    <w:rsid w:val="00157F17"/>
    <w:rsid w:val="00163C6C"/>
    <w:rsid w:val="00194E77"/>
    <w:rsid w:val="001B0013"/>
    <w:rsid w:val="001C663E"/>
    <w:rsid w:val="001C6BFC"/>
    <w:rsid w:val="001E22F7"/>
    <w:rsid w:val="001F7444"/>
    <w:rsid w:val="00200105"/>
    <w:rsid w:val="00207B98"/>
    <w:rsid w:val="002146F8"/>
    <w:rsid w:val="002269B4"/>
    <w:rsid w:val="00232529"/>
    <w:rsid w:val="00232958"/>
    <w:rsid w:val="00236B69"/>
    <w:rsid w:val="00242169"/>
    <w:rsid w:val="00247AD4"/>
    <w:rsid w:val="00256DE8"/>
    <w:rsid w:val="0027285F"/>
    <w:rsid w:val="00273017"/>
    <w:rsid w:val="00281590"/>
    <w:rsid w:val="002822F9"/>
    <w:rsid w:val="0028787E"/>
    <w:rsid w:val="002942D7"/>
    <w:rsid w:val="00295E3B"/>
    <w:rsid w:val="00296D2B"/>
    <w:rsid w:val="002A7B79"/>
    <w:rsid w:val="002B425B"/>
    <w:rsid w:val="002C5CE0"/>
    <w:rsid w:val="002F7F99"/>
    <w:rsid w:val="0031567B"/>
    <w:rsid w:val="00321E73"/>
    <w:rsid w:val="00344C04"/>
    <w:rsid w:val="00344D92"/>
    <w:rsid w:val="003476DE"/>
    <w:rsid w:val="0035335B"/>
    <w:rsid w:val="003601F3"/>
    <w:rsid w:val="00360D84"/>
    <w:rsid w:val="00373401"/>
    <w:rsid w:val="00381D22"/>
    <w:rsid w:val="003A6A80"/>
    <w:rsid w:val="003A6FE4"/>
    <w:rsid w:val="003A7956"/>
    <w:rsid w:val="003B0CCF"/>
    <w:rsid w:val="003B49C0"/>
    <w:rsid w:val="003C1B4F"/>
    <w:rsid w:val="003D2464"/>
    <w:rsid w:val="003D3370"/>
    <w:rsid w:val="003F1E24"/>
    <w:rsid w:val="00400A0D"/>
    <w:rsid w:val="0040743E"/>
    <w:rsid w:val="0042474E"/>
    <w:rsid w:val="00430899"/>
    <w:rsid w:val="004326C6"/>
    <w:rsid w:val="00446AC2"/>
    <w:rsid w:val="00447514"/>
    <w:rsid w:val="004521CD"/>
    <w:rsid w:val="004735E0"/>
    <w:rsid w:val="004817D7"/>
    <w:rsid w:val="00483DC5"/>
    <w:rsid w:val="004920D7"/>
    <w:rsid w:val="00495634"/>
    <w:rsid w:val="00495B53"/>
    <w:rsid w:val="004976F8"/>
    <w:rsid w:val="004A5D83"/>
    <w:rsid w:val="004A7EE9"/>
    <w:rsid w:val="004B47CE"/>
    <w:rsid w:val="004C1B83"/>
    <w:rsid w:val="004C25AD"/>
    <w:rsid w:val="004D7873"/>
    <w:rsid w:val="004F6576"/>
    <w:rsid w:val="00522415"/>
    <w:rsid w:val="00524E02"/>
    <w:rsid w:val="00525BA2"/>
    <w:rsid w:val="0054038F"/>
    <w:rsid w:val="00553B37"/>
    <w:rsid w:val="00553BF2"/>
    <w:rsid w:val="00553F42"/>
    <w:rsid w:val="0055722F"/>
    <w:rsid w:val="00563603"/>
    <w:rsid w:val="0056364C"/>
    <w:rsid w:val="00573673"/>
    <w:rsid w:val="00584AEC"/>
    <w:rsid w:val="00587ADB"/>
    <w:rsid w:val="005A5D4C"/>
    <w:rsid w:val="005B20D6"/>
    <w:rsid w:val="005B27A1"/>
    <w:rsid w:val="005B4B6B"/>
    <w:rsid w:val="005C79DE"/>
    <w:rsid w:val="005E1164"/>
    <w:rsid w:val="005E1F15"/>
    <w:rsid w:val="00602C99"/>
    <w:rsid w:val="00605137"/>
    <w:rsid w:val="006070C9"/>
    <w:rsid w:val="006113BB"/>
    <w:rsid w:val="00617EBE"/>
    <w:rsid w:val="0062316E"/>
    <w:rsid w:val="00627829"/>
    <w:rsid w:val="00627D8D"/>
    <w:rsid w:val="0063635F"/>
    <w:rsid w:val="00643083"/>
    <w:rsid w:val="006443D7"/>
    <w:rsid w:val="00644BA0"/>
    <w:rsid w:val="00691D72"/>
    <w:rsid w:val="006B25C8"/>
    <w:rsid w:val="006D6A3A"/>
    <w:rsid w:val="006E53CE"/>
    <w:rsid w:val="00712B80"/>
    <w:rsid w:val="00723642"/>
    <w:rsid w:val="007304BC"/>
    <w:rsid w:val="00730E67"/>
    <w:rsid w:val="00744749"/>
    <w:rsid w:val="00753CBE"/>
    <w:rsid w:val="00753E9A"/>
    <w:rsid w:val="00756167"/>
    <w:rsid w:val="007566DD"/>
    <w:rsid w:val="00764894"/>
    <w:rsid w:val="00781629"/>
    <w:rsid w:val="007821CD"/>
    <w:rsid w:val="00783E42"/>
    <w:rsid w:val="00790924"/>
    <w:rsid w:val="007C4ABA"/>
    <w:rsid w:val="007C4E20"/>
    <w:rsid w:val="007C5C78"/>
    <w:rsid w:val="007D1555"/>
    <w:rsid w:val="007F0DC0"/>
    <w:rsid w:val="008120D4"/>
    <w:rsid w:val="00827E87"/>
    <w:rsid w:val="00840CD5"/>
    <w:rsid w:val="0085325F"/>
    <w:rsid w:val="00865DEC"/>
    <w:rsid w:val="00866639"/>
    <w:rsid w:val="0086771C"/>
    <w:rsid w:val="00886C5C"/>
    <w:rsid w:val="00891559"/>
    <w:rsid w:val="008A3C1F"/>
    <w:rsid w:val="008A7C18"/>
    <w:rsid w:val="008C4DBD"/>
    <w:rsid w:val="008C6D8D"/>
    <w:rsid w:val="008E2D55"/>
    <w:rsid w:val="008E309D"/>
    <w:rsid w:val="008E38DE"/>
    <w:rsid w:val="008E4F74"/>
    <w:rsid w:val="008F640B"/>
    <w:rsid w:val="00901AE6"/>
    <w:rsid w:val="00923952"/>
    <w:rsid w:val="00943F67"/>
    <w:rsid w:val="009520BE"/>
    <w:rsid w:val="00970C38"/>
    <w:rsid w:val="00974F33"/>
    <w:rsid w:val="00982965"/>
    <w:rsid w:val="00990DCA"/>
    <w:rsid w:val="00997119"/>
    <w:rsid w:val="00997C77"/>
    <w:rsid w:val="009B4E2B"/>
    <w:rsid w:val="009D7694"/>
    <w:rsid w:val="009F0B58"/>
    <w:rsid w:val="00A12860"/>
    <w:rsid w:val="00A13312"/>
    <w:rsid w:val="00A22A86"/>
    <w:rsid w:val="00A43A91"/>
    <w:rsid w:val="00A54885"/>
    <w:rsid w:val="00A55F63"/>
    <w:rsid w:val="00A570EC"/>
    <w:rsid w:val="00A66C88"/>
    <w:rsid w:val="00A81FC8"/>
    <w:rsid w:val="00A8549B"/>
    <w:rsid w:val="00AA0EE1"/>
    <w:rsid w:val="00AA1F5B"/>
    <w:rsid w:val="00AA4948"/>
    <w:rsid w:val="00AA5F3F"/>
    <w:rsid w:val="00AA79A0"/>
    <w:rsid w:val="00AB0C4A"/>
    <w:rsid w:val="00AB5166"/>
    <w:rsid w:val="00AB6D08"/>
    <w:rsid w:val="00AC6E67"/>
    <w:rsid w:val="00AD202D"/>
    <w:rsid w:val="00AD52F6"/>
    <w:rsid w:val="00AE03A3"/>
    <w:rsid w:val="00AE40F0"/>
    <w:rsid w:val="00B02744"/>
    <w:rsid w:val="00B23749"/>
    <w:rsid w:val="00B3254B"/>
    <w:rsid w:val="00B34CC3"/>
    <w:rsid w:val="00B41722"/>
    <w:rsid w:val="00B43E4F"/>
    <w:rsid w:val="00B50BF9"/>
    <w:rsid w:val="00B603F3"/>
    <w:rsid w:val="00B7541F"/>
    <w:rsid w:val="00B811B0"/>
    <w:rsid w:val="00BA0A9C"/>
    <w:rsid w:val="00BB3DD1"/>
    <w:rsid w:val="00BC7A6E"/>
    <w:rsid w:val="00BD7D30"/>
    <w:rsid w:val="00BE1EB7"/>
    <w:rsid w:val="00BE463D"/>
    <w:rsid w:val="00C04F4A"/>
    <w:rsid w:val="00C16598"/>
    <w:rsid w:val="00C34B93"/>
    <w:rsid w:val="00C360F0"/>
    <w:rsid w:val="00C416D8"/>
    <w:rsid w:val="00C459DE"/>
    <w:rsid w:val="00C47879"/>
    <w:rsid w:val="00C520BA"/>
    <w:rsid w:val="00C54AF9"/>
    <w:rsid w:val="00C55AE3"/>
    <w:rsid w:val="00C579DE"/>
    <w:rsid w:val="00C607A5"/>
    <w:rsid w:val="00CA3B00"/>
    <w:rsid w:val="00CA5921"/>
    <w:rsid w:val="00CB25B6"/>
    <w:rsid w:val="00CB5CFC"/>
    <w:rsid w:val="00CD36DD"/>
    <w:rsid w:val="00CD5DB3"/>
    <w:rsid w:val="00CF2D5D"/>
    <w:rsid w:val="00CF4D8F"/>
    <w:rsid w:val="00D02547"/>
    <w:rsid w:val="00D12A83"/>
    <w:rsid w:val="00D249E4"/>
    <w:rsid w:val="00D256CC"/>
    <w:rsid w:val="00D26FA5"/>
    <w:rsid w:val="00D337BE"/>
    <w:rsid w:val="00D37D46"/>
    <w:rsid w:val="00D4524F"/>
    <w:rsid w:val="00D47E4B"/>
    <w:rsid w:val="00D6058E"/>
    <w:rsid w:val="00D648E9"/>
    <w:rsid w:val="00DA0327"/>
    <w:rsid w:val="00DA26B6"/>
    <w:rsid w:val="00DB6AFC"/>
    <w:rsid w:val="00DD6B8C"/>
    <w:rsid w:val="00DE272B"/>
    <w:rsid w:val="00DE3057"/>
    <w:rsid w:val="00E10AFD"/>
    <w:rsid w:val="00E20343"/>
    <w:rsid w:val="00E23E97"/>
    <w:rsid w:val="00E2672E"/>
    <w:rsid w:val="00E357DF"/>
    <w:rsid w:val="00E4464E"/>
    <w:rsid w:val="00E54F1D"/>
    <w:rsid w:val="00E62198"/>
    <w:rsid w:val="00E62A80"/>
    <w:rsid w:val="00E66638"/>
    <w:rsid w:val="00E86BB5"/>
    <w:rsid w:val="00E95A58"/>
    <w:rsid w:val="00E9673A"/>
    <w:rsid w:val="00EA30E6"/>
    <w:rsid w:val="00EA576A"/>
    <w:rsid w:val="00EB516D"/>
    <w:rsid w:val="00EE2A5B"/>
    <w:rsid w:val="00EE45A4"/>
    <w:rsid w:val="00EF293C"/>
    <w:rsid w:val="00EF425B"/>
    <w:rsid w:val="00F000B0"/>
    <w:rsid w:val="00F077D5"/>
    <w:rsid w:val="00F32693"/>
    <w:rsid w:val="00F56766"/>
    <w:rsid w:val="00F706CA"/>
    <w:rsid w:val="00FA6F4D"/>
    <w:rsid w:val="00FD0B4F"/>
    <w:rsid w:val="00FE4437"/>
    <w:rsid w:val="00FE52FE"/>
    <w:rsid w:val="00FE79B7"/>
    <w:rsid w:val="00FF00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F45AB"/>
  <w15:docId w15:val="{24DF33CF-37C0-4434-9104-FE96386D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9DE"/>
    <w:rPr>
      <w:rFonts w:ascii="Calibri" w:eastAsia="Calibri" w:hAnsi="Calibri" w:cs="Times New Roman"/>
    </w:rPr>
  </w:style>
  <w:style w:type="paragraph" w:styleId="Titre1">
    <w:name w:val="heading 1"/>
    <w:aliases w:val="1,Heading 1 Char,Heading 1 Char1 Char,Heading 1 Char Char Char,Heading 1 Char1 Char Char Char,Heading 1 Char Char Char Char Char,Heading 1 Char1 Char Char Char Char Char,Heading 1 Char Char Char Char Char Char Char,Heading 1 Char1 Char1"/>
    <w:basedOn w:val="Normal"/>
    <w:link w:val="Titre1Car"/>
    <w:qFormat/>
    <w:rsid w:val="00C579DE"/>
    <w:pPr>
      <w:keepNext/>
      <w:keepLines/>
      <w:spacing w:before="240" w:line="240" w:lineRule="auto"/>
      <w:contextualSpacing/>
      <w:outlineLvl w:val="0"/>
    </w:pPr>
    <w:rPr>
      <w:rFonts w:asciiTheme="majorHAnsi" w:eastAsiaTheme="majorEastAsia" w:hAnsiTheme="majorHAnsi" w:cstheme="majorBidi"/>
      <w:caps/>
      <w:color w:val="5B9BD5" w:themeColor="accent1"/>
      <w:spacing w:val="14"/>
      <w:sz w:val="64"/>
      <w:szCs w:val="32"/>
    </w:rPr>
  </w:style>
  <w:style w:type="paragraph" w:styleId="Titre2">
    <w:name w:val="heading 2"/>
    <w:basedOn w:val="Normal"/>
    <w:link w:val="Titre2Car"/>
    <w:uiPriority w:val="9"/>
    <w:unhideWhenUsed/>
    <w:qFormat/>
    <w:rsid w:val="00C579DE"/>
    <w:pPr>
      <w:keepNext/>
      <w:keepLines/>
      <w:spacing w:after="200" w:line="240" w:lineRule="auto"/>
      <w:contextualSpacing/>
      <w:outlineLvl w:val="1"/>
    </w:pPr>
    <w:rPr>
      <w:rFonts w:asciiTheme="majorHAnsi" w:eastAsiaTheme="majorEastAsia" w:hAnsiTheme="majorHAnsi" w:cstheme="majorBidi"/>
      <w:caps/>
      <w:color w:val="5B9BD5" w:themeColor="accent1"/>
      <w:spacing w:val="14"/>
      <w:sz w:val="40"/>
      <w:szCs w:val="26"/>
    </w:rPr>
  </w:style>
  <w:style w:type="paragraph" w:styleId="Titre3">
    <w:name w:val="heading 3"/>
    <w:basedOn w:val="Normal"/>
    <w:next w:val="Normal"/>
    <w:link w:val="Titre3Car"/>
    <w:unhideWhenUsed/>
    <w:qFormat/>
    <w:rsid w:val="00C579DE"/>
    <w:pPr>
      <w:keepNext/>
      <w:keepLines/>
      <w:spacing w:after="240" w:line="240" w:lineRule="auto"/>
      <w:contextualSpacing/>
      <w:outlineLvl w:val="2"/>
    </w:pPr>
    <w:rPr>
      <w:rFonts w:asciiTheme="majorHAnsi" w:eastAsiaTheme="majorEastAsia" w:hAnsiTheme="majorHAnsi" w:cstheme="majorBidi"/>
      <w:color w:val="5B9BD5" w:themeColor="accent1"/>
      <w:sz w:val="34"/>
    </w:rPr>
  </w:style>
  <w:style w:type="paragraph" w:styleId="Titre4">
    <w:name w:val="heading 4"/>
    <w:basedOn w:val="Normal"/>
    <w:next w:val="Normal"/>
    <w:link w:val="Titre4Car"/>
    <w:uiPriority w:val="9"/>
    <w:unhideWhenUsed/>
    <w:qFormat/>
    <w:rsid w:val="00C579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Heading 1 Char Car,Heading 1 Char1 Char Car,Heading 1 Char Char Char Car,Heading 1 Char1 Char Char Char Car,Heading 1 Char Char Char Char Char Car,Heading 1 Char1 Char Char Char Char Char Car,Heading 1 Char1 Char1 Car"/>
    <w:basedOn w:val="Policepardfaut"/>
    <w:link w:val="Titre1"/>
    <w:rsid w:val="00C579DE"/>
    <w:rPr>
      <w:rFonts w:asciiTheme="majorHAnsi" w:eastAsiaTheme="majorEastAsia" w:hAnsiTheme="majorHAnsi" w:cstheme="majorBidi"/>
      <w:caps/>
      <w:color w:val="5B9BD5" w:themeColor="accent1"/>
      <w:spacing w:val="14"/>
      <w:sz w:val="64"/>
      <w:szCs w:val="32"/>
    </w:rPr>
  </w:style>
  <w:style w:type="character" w:customStyle="1" w:styleId="Titre2Car">
    <w:name w:val="Titre 2 Car"/>
    <w:basedOn w:val="Policepardfaut"/>
    <w:link w:val="Titre2"/>
    <w:uiPriority w:val="9"/>
    <w:rsid w:val="00C579DE"/>
    <w:rPr>
      <w:rFonts w:asciiTheme="majorHAnsi" w:eastAsiaTheme="majorEastAsia" w:hAnsiTheme="majorHAnsi" w:cstheme="majorBidi"/>
      <w:caps/>
      <w:color w:val="5B9BD5" w:themeColor="accent1"/>
      <w:spacing w:val="14"/>
      <w:sz w:val="40"/>
      <w:szCs w:val="26"/>
    </w:rPr>
  </w:style>
  <w:style w:type="character" w:customStyle="1" w:styleId="Titre3Car">
    <w:name w:val="Titre 3 Car"/>
    <w:basedOn w:val="Policepardfaut"/>
    <w:link w:val="Titre3"/>
    <w:rsid w:val="00C579DE"/>
    <w:rPr>
      <w:rFonts w:asciiTheme="majorHAnsi" w:eastAsiaTheme="majorEastAsia" w:hAnsiTheme="majorHAnsi" w:cstheme="majorBidi"/>
      <w:color w:val="5B9BD5" w:themeColor="accent1"/>
      <w:sz w:val="34"/>
    </w:rPr>
  </w:style>
  <w:style w:type="character" w:customStyle="1" w:styleId="Titre4Car">
    <w:name w:val="Titre 4 Car"/>
    <w:basedOn w:val="Policepardfaut"/>
    <w:link w:val="Titre4"/>
    <w:uiPriority w:val="9"/>
    <w:rsid w:val="00C579DE"/>
    <w:rPr>
      <w:rFonts w:asciiTheme="majorHAnsi" w:eastAsiaTheme="majorEastAsia" w:hAnsiTheme="majorHAnsi" w:cstheme="majorBidi"/>
      <w:i/>
      <w:iCs/>
      <w:color w:val="2E74B5" w:themeColor="accent1" w:themeShade="BF"/>
    </w:rPr>
  </w:style>
  <w:style w:type="paragraph" w:styleId="Citation">
    <w:name w:val="Quote"/>
    <w:basedOn w:val="Normal"/>
    <w:next w:val="Normal"/>
    <w:link w:val="CitationCar"/>
    <w:uiPriority w:val="29"/>
    <w:unhideWhenUsed/>
    <w:qFormat/>
    <w:rsid w:val="00C579DE"/>
    <w:pPr>
      <w:spacing w:before="360" w:after="560" w:line="264" w:lineRule="auto"/>
      <w:ind w:left="605" w:right="605"/>
      <w:contextualSpacing/>
    </w:pPr>
    <w:rPr>
      <w:rFonts w:asciiTheme="majorHAnsi" w:hAnsiTheme="majorHAnsi"/>
      <w:i/>
      <w:iCs/>
      <w:color w:val="5B9BD5" w:themeColor="accent1"/>
      <w:sz w:val="40"/>
    </w:rPr>
  </w:style>
  <w:style w:type="character" w:customStyle="1" w:styleId="CitationCar">
    <w:name w:val="Citation Car"/>
    <w:basedOn w:val="Policepardfaut"/>
    <w:link w:val="Citation"/>
    <w:uiPriority w:val="29"/>
    <w:rsid w:val="00C579DE"/>
    <w:rPr>
      <w:rFonts w:asciiTheme="majorHAnsi" w:eastAsia="Calibri" w:hAnsiTheme="majorHAnsi" w:cs="Times New Roman"/>
      <w:i/>
      <w:iCs/>
      <w:color w:val="5B9BD5" w:themeColor="accent1"/>
      <w:sz w:val="40"/>
    </w:rPr>
  </w:style>
  <w:style w:type="paragraph" w:styleId="Commentaire">
    <w:name w:val="annotation text"/>
    <w:basedOn w:val="Normal"/>
    <w:link w:val="CommentaireCar"/>
    <w:uiPriority w:val="99"/>
    <w:unhideWhenUsed/>
    <w:rsid w:val="00C579DE"/>
    <w:pPr>
      <w:spacing w:line="240" w:lineRule="auto"/>
    </w:pPr>
    <w:rPr>
      <w:szCs w:val="20"/>
    </w:rPr>
  </w:style>
  <w:style w:type="character" w:customStyle="1" w:styleId="CommentaireCar">
    <w:name w:val="Commentaire Car"/>
    <w:basedOn w:val="Policepardfaut"/>
    <w:link w:val="Commentaire"/>
    <w:uiPriority w:val="99"/>
    <w:rsid w:val="00C579DE"/>
    <w:rPr>
      <w:rFonts w:ascii="Calibri" w:eastAsia="Calibri" w:hAnsi="Calibri" w:cs="Times New Roman"/>
      <w:szCs w:val="20"/>
    </w:rPr>
  </w:style>
  <w:style w:type="paragraph" w:styleId="Notedebasdepage">
    <w:name w:val="footnote text"/>
    <w:basedOn w:val="Normal"/>
    <w:link w:val="NotedebasdepageCar"/>
    <w:uiPriority w:val="99"/>
    <w:semiHidden/>
    <w:unhideWhenUsed/>
    <w:rsid w:val="00C579DE"/>
    <w:pPr>
      <w:spacing w:after="0" w:line="240" w:lineRule="auto"/>
    </w:pPr>
    <w:rPr>
      <w:szCs w:val="20"/>
    </w:rPr>
  </w:style>
  <w:style w:type="character" w:customStyle="1" w:styleId="NotedebasdepageCar">
    <w:name w:val="Note de bas de page Car"/>
    <w:basedOn w:val="Policepardfaut"/>
    <w:link w:val="Notedebasdepage"/>
    <w:uiPriority w:val="99"/>
    <w:semiHidden/>
    <w:rsid w:val="00C579DE"/>
    <w:rPr>
      <w:rFonts w:ascii="Calibri" w:eastAsia="Calibri" w:hAnsi="Calibri" w:cs="Times New Roman"/>
      <w:szCs w:val="20"/>
    </w:rPr>
  </w:style>
  <w:style w:type="paragraph" w:styleId="Paragraphedeliste">
    <w:name w:val="List Paragraph"/>
    <w:basedOn w:val="Normal"/>
    <w:link w:val="ParagraphedelisteCar"/>
    <w:uiPriority w:val="34"/>
    <w:qFormat/>
    <w:rsid w:val="00C579DE"/>
    <w:pPr>
      <w:spacing w:after="200" w:line="276" w:lineRule="auto"/>
      <w:ind w:left="720"/>
      <w:contextualSpacing/>
    </w:pPr>
    <w:rPr>
      <w:rFonts w:asciiTheme="minorHAnsi" w:eastAsiaTheme="minorHAnsi" w:hAnsiTheme="minorHAnsi" w:cstheme="minorBidi"/>
    </w:rPr>
  </w:style>
  <w:style w:type="character" w:customStyle="1" w:styleId="ParagraphedelisteCar">
    <w:name w:val="Paragraphe de liste Car"/>
    <w:link w:val="Paragraphedeliste"/>
    <w:uiPriority w:val="34"/>
    <w:locked/>
    <w:rsid w:val="00C579DE"/>
  </w:style>
  <w:style w:type="character" w:styleId="Lienhypertexte">
    <w:name w:val="Hyperlink"/>
    <w:uiPriority w:val="99"/>
    <w:rsid w:val="00C579DE"/>
    <w:rPr>
      <w:rFonts w:cs="Times New Roman"/>
      <w:color w:val="0000FF"/>
      <w:u w:val="single"/>
    </w:rPr>
  </w:style>
  <w:style w:type="table" w:customStyle="1" w:styleId="TableauListe3-Accentuation31">
    <w:name w:val="Tableau Liste 3 - Accentuation 31"/>
    <w:basedOn w:val="TableauNormal"/>
    <w:uiPriority w:val="48"/>
    <w:rsid w:val="00C579DE"/>
    <w:pPr>
      <w:spacing w:before="160" w:after="0" w:line="240" w:lineRule="auto"/>
    </w:pPr>
    <w:rPr>
      <w:color w:val="7F7F7F" w:themeColor="text1" w:themeTint="80"/>
      <w:sz w:val="24"/>
      <w:szCs w:val="24"/>
      <w:lang w:eastAsia="ja-JP"/>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Appelnotedebasdep">
    <w:name w:val="footnote reference"/>
    <w:basedOn w:val="Policepardfaut"/>
    <w:uiPriority w:val="99"/>
    <w:semiHidden/>
    <w:unhideWhenUsed/>
    <w:rsid w:val="00C579DE"/>
    <w:rPr>
      <w:vertAlign w:val="superscript"/>
    </w:rPr>
  </w:style>
  <w:style w:type="character" w:customStyle="1" w:styleId="citation0">
    <w:name w:val="citation"/>
    <w:basedOn w:val="Policepardfaut"/>
    <w:rsid w:val="00C579DE"/>
  </w:style>
  <w:style w:type="character" w:styleId="Lienhypertextesuivivisit">
    <w:name w:val="FollowedHyperlink"/>
    <w:basedOn w:val="Policepardfaut"/>
    <w:uiPriority w:val="99"/>
    <w:semiHidden/>
    <w:unhideWhenUsed/>
    <w:rsid w:val="000B5866"/>
    <w:rPr>
      <w:color w:val="954F72" w:themeColor="followedHyperlink"/>
      <w:u w:val="single"/>
    </w:rPr>
  </w:style>
  <w:style w:type="character" w:styleId="Marquedecommentaire">
    <w:name w:val="annotation reference"/>
    <w:basedOn w:val="Policepardfaut"/>
    <w:uiPriority w:val="99"/>
    <w:semiHidden/>
    <w:unhideWhenUsed/>
    <w:rsid w:val="00157F17"/>
    <w:rPr>
      <w:sz w:val="22"/>
      <w:szCs w:val="16"/>
    </w:rPr>
  </w:style>
  <w:style w:type="table" w:customStyle="1" w:styleId="TableauListe3-Accentuation32">
    <w:name w:val="Tableau Liste 3 - Accentuation 32"/>
    <w:basedOn w:val="TableauNormal"/>
    <w:uiPriority w:val="48"/>
    <w:rsid w:val="00157F17"/>
    <w:pPr>
      <w:spacing w:before="160" w:after="0" w:line="240" w:lineRule="auto"/>
    </w:pPr>
    <w:rPr>
      <w:color w:val="7F7F7F" w:themeColor="text1" w:themeTint="80"/>
      <w:sz w:val="24"/>
      <w:szCs w:val="24"/>
      <w:lang w:eastAsia="ja-JP"/>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157F17"/>
    <w:pPr>
      <w:autoSpaceDE w:val="0"/>
      <w:autoSpaceDN w:val="0"/>
      <w:adjustRightInd w:val="0"/>
      <w:spacing w:after="0" w:line="240" w:lineRule="auto"/>
    </w:pPr>
    <w:rPr>
      <w:rFonts w:ascii="Tahoma" w:hAnsi="Tahoma" w:cs="Tahoma"/>
      <w:color w:val="000000"/>
      <w:sz w:val="24"/>
      <w:szCs w:val="24"/>
    </w:rPr>
  </w:style>
  <w:style w:type="paragraph" w:styleId="Textedebulles">
    <w:name w:val="Balloon Text"/>
    <w:basedOn w:val="Normal"/>
    <w:link w:val="TextedebullesCar"/>
    <w:uiPriority w:val="99"/>
    <w:semiHidden/>
    <w:unhideWhenUsed/>
    <w:rsid w:val="00207B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B98"/>
    <w:rPr>
      <w:rFonts w:ascii="Segoe UI" w:eastAsia="Calibri" w:hAnsi="Segoe UI" w:cs="Segoe UI"/>
      <w:sz w:val="18"/>
      <w:szCs w:val="18"/>
    </w:rPr>
  </w:style>
  <w:style w:type="table" w:customStyle="1" w:styleId="TableauGrille4-Accentuation21">
    <w:name w:val="Tableau Grille 4 - Accentuation 21"/>
    <w:basedOn w:val="TableauNormal"/>
    <w:uiPriority w:val="49"/>
    <w:rsid w:val="00EF293C"/>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lledutableau">
    <w:name w:val="Table Grid"/>
    <w:basedOn w:val="TableauNormal"/>
    <w:uiPriority w:val="59"/>
    <w:rsid w:val="00EF2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31">
    <w:name w:val="Tableau simple 31"/>
    <w:basedOn w:val="TableauNormal"/>
    <w:uiPriority w:val="43"/>
    <w:rsid w:val="00EF29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Grille1Clair1">
    <w:name w:val="Tableau Grille 1 Clair1"/>
    <w:basedOn w:val="TableauNormal"/>
    <w:uiPriority w:val="46"/>
    <w:rsid w:val="00EF293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4-Accentuation22">
    <w:name w:val="Tableau Grille 4 - Accentuation 22"/>
    <w:basedOn w:val="TableauNormal"/>
    <w:uiPriority w:val="49"/>
    <w:rsid w:val="00495B5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Grille5Fonc-Accentuation21">
    <w:name w:val="Tableau Grille 5 Foncé - Accentuation 21"/>
    <w:basedOn w:val="TableauNormal"/>
    <w:uiPriority w:val="50"/>
    <w:rsid w:val="00495B5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auGrille4-Accentuation51">
    <w:name w:val="Tableau Grille 4 - Accentuation 51"/>
    <w:basedOn w:val="TableauNormal"/>
    <w:uiPriority w:val="49"/>
    <w:rsid w:val="00E54F1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yle2">
    <w:name w:val="Style2"/>
    <w:basedOn w:val="Normal"/>
    <w:link w:val="Style2Car"/>
    <w:qFormat/>
    <w:rsid w:val="00E54F1D"/>
    <w:pPr>
      <w:keepNext/>
      <w:keepLines/>
      <w:framePr w:wrap="around" w:vAnchor="text" w:hAnchor="text" w:y="1"/>
      <w:spacing w:before="120" w:after="0" w:line="240" w:lineRule="auto"/>
      <w:outlineLvl w:val="0"/>
    </w:pPr>
    <w:rPr>
      <w:rFonts w:ascii="Adobe Garamond Pro Bold" w:eastAsiaTheme="majorEastAsia" w:hAnsi="Adobe Garamond Pro Bold" w:cstheme="majorBidi"/>
      <w:color w:val="2E74B5" w:themeColor="accent1" w:themeShade="BF"/>
      <w:sz w:val="32"/>
      <w:szCs w:val="32"/>
    </w:rPr>
  </w:style>
  <w:style w:type="character" w:customStyle="1" w:styleId="Style2Car">
    <w:name w:val="Style2 Car"/>
    <w:basedOn w:val="Policepardfaut"/>
    <w:link w:val="Style2"/>
    <w:rsid w:val="00E54F1D"/>
    <w:rPr>
      <w:rFonts w:ascii="Adobe Garamond Pro Bold" w:eastAsiaTheme="majorEastAsia" w:hAnsi="Adobe Garamond Pro Bold" w:cstheme="majorBidi"/>
      <w:color w:val="2E74B5" w:themeColor="accent1" w:themeShade="BF"/>
      <w:sz w:val="32"/>
      <w:szCs w:val="32"/>
    </w:rPr>
  </w:style>
  <w:style w:type="table" w:customStyle="1" w:styleId="Tableausimple11">
    <w:name w:val="Tableau simple 11"/>
    <w:basedOn w:val="TableauNormal"/>
    <w:uiPriority w:val="41"/>
    <w:rsid w:val="00F000B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re">
    <w:name w:val="Title"/>
    <w:basedOn w:val="Normal"/>
    <w:next w:val="Normal"/>
    <w:link w:val="TitreCar"/>
    <w:uiPriority w:val="10"/>
    <w:qFormat/>
    <w:rsid w:val="00F000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00B0"/>
    <w:rPr>
      <w:rFonts w:asciiTheme="majorHAnsi" w:eastAsiaTheme="majorEastAsia" w:hAnsiTheme="majorHAnsi" w:cstheme="majorBidi"/>
      <w:spacing w:val="-10"/>
      <w:kern w:val="28"/>
      <w:sz w:val="56"/>
      <w:szCs w:val="56"/>
    </w:rPr>
  </w:style>
  <w:style w:type="table" w:customStyle="1" w:styleId="TableauGrille1Clair-Accentuation11">
    <w:name w:val="Tableau Grille 1 Clair - Accentuation 11"/>
    <w:basedOn w:val="TableauNormal"/>
    <w:uiPriority w:val="46"/>
    <w:rsid w:val="00F000B0"/>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ieddepage">
    <w:name w:val="footer"/>
    <w:basedOn w:val="Normal"/>
    <w:link w:val="PieddepageCar"/>
    <w:uiPriority w:val="99"/>
    <w:unhideWhenUsed/>
    <w:rsid w:val="00F000B0"/>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F000B0"/>
  </w:style>
  <w:style w:type="paragraph" w:styleId="Sansinterligne">
    <w:name w:val="No Spacing"/>
    <w:link w:val="SansinterligneCar"/>
    <w:uiPriority w:val="1"/>
    <w:qFormat/>
    <w:rsid w:val="00F000B0"/>
    <w:pPr>
      <w:spacing w:after="0" w:line="240" w:lineRule="auto"/>
    </w:pPr>
  </w:style>
  <w:style w:type="character" w:customStyle="1" w:styleId="SansinterligneCar">
    <w:name w:val="Sans interligne Car"/>
    <w:basedOn w:val="Policepardfaut"/>
    <w:link w:val="Sansinterligne"/>
    <w:uiPriority w:val="1"/>
    <w:rsid w:val="00F000B0"/>
  </w:style>
  <w:style w:type="paragraph" w:styleId="En-ttedetabledesmatires">
    <w:name w:val="TOC Heading"/>
    <w:basedOn w:val="Titre1"/>
    <w:next w:val="Normal"/>
    <w:uiPriority w:val="39"/>
    <w:unhideWhenUsed/>
    <w:qFormat/>
    <w:rsid w:val="00F000B0"/>
    <w:pPr>
      <w:spacing w:after="0" w:line="259" w:lineRule="auto"/>
      <w:contextualSpacing w:val="0"/>
      <w:outlineLvl w:val="9"/>
    </w:pPr>
    <w:rPr>
      <w:caps w:val="0"/>
      <w:color w:val="2E74B5" w:themeColor="accent1" w:themeShade="BF"/>
      <w:spacing w:val="0"/>
      <w:sz w:val="32"/>
      <w:lang w:eastAsia="fr-FR"/>
    </w:rPr>
  </w:style>
  <w:style w:type="paragraph" w:styleId="TM2">
    <w:name w:val="toc 2"/>
    <w:basedOn w:val="Normal"/>
    <w:next w:val="Normal"/>
    <w:autoRedefine/>
    <w:uiPriority w:val="39"/>
    <w:unhideWhenUsed/>
    <w:rsid w:val="00553B37"/>
    <w:pPr>
      <w:tabs>
        <w:tab w:val="right" w:leader="dot" w:pos="9630"/>
      </w:tabs>
      <w:spacing w:after="100"/>
      <w:ind w:left="220" w:hanging="220"/>
    </w:pPr>
    <w:rPr>
      <w:rFonts w:asciiTheme="minorHAnsi" w:eastAsiaTheme="minorHAnsi" w:hAnsiTheme="minorHAnsi" w:cstheme="minorBidi"/>
    </w:rPr>
  </w:style>
  <w:style w:type="paragraph" w:styleId="TM3">
    <w:name w:val="toc 3"/>
    <w:basedOn w:val="Normal"/>
    <w:next w:val="Normal"/>
    <w:autoRedefine/>
    <w:uiPriority w:val="39"/>
    <w:unhideWhenUsed/>
    <w:rsid w:val="00553B37"/>
    <w:pPr>
      <w:tabs>
        <w:tab w:val="left" w:pos="660"/>
        <w:tab w:val="right" w:leader="dot" w:pos="9630"/>
      </w:tabs>
      <w:spacing w:after="100"/>
      <w:ind w:left="284" w:hanging="284"/>
    </w:pPr>
    <w:rPr>
      <w:rFonts w:asciiTheme="minorHAnsi" w:eastAsiaTheme="minorHAnsi" w:hAnsiTheme="minorHAnsi" w:cstheme="minorBidi"/>
    </w:rPr>
  </w:style>
  <w:style w:type="paragraph" w:styleId="TM1">
    <w:name w:val="toc 1"/>
    <w:basedOn w:val="Normal"/>
    <w:next w:val="Normal"/>
    <w:autoRedefine/>
    <w:uiPriority w:val="39"/>
    <w:unhideWhenUsed/>
    <w:rsid w:val="00790924"/>
    <w:pPr>
      <w:tabs>
        <w:tab w:val="left" w:pos="284"/>
        <w:tab w:val="left" w:pos="426"/>
        <w:tab w:val="left" w:pos="709"/>
        <w:tab w:val="left" w:pos="1276"/>
        <w:tab w:val="right" w:leader="dot" w:pos="9630"/>
      </w:tabs>
      <w:spacing w:after="100"/>
    </w:pPr>
    <w:rPr>
      <w:rFonts w:asciiTheme="minorHAnsi" w:eastAsiaTheme="minorHAnsi" w:hAnsiTheme="minorHAnsi" w:cstheme="minorBidi"/>
    </w:rPr>
  </w:style>
  <w:style w:type="character" w:customStyle="1" w:styleId="ObjetducommentaireCar">
    <w:name w:val="Objet du commentaire Car"/>
    <w:basedOn w:val="CommentaireCar"/>
    <w:link w:val="Objetducommentaire"/>
    <w:uiPriority w:val="99"/>
    <w:semiHidden/>
    <w:rsid w:val="00F000B0"/>
    <w:rPr>
      <w:rFonts w:ascii="Calibri" w:eastAsia="Calibri" w:hAnsi="Calibri" w:cs="Times New Roman"/>
      <w:b/>
      <w:bCs/>
      <w:sz w:val="20"/>
      <w:szCs w:val="20"/>
    </w:rPr>
  </w:style>
  <w:style w:type="paragraph" w:styleId="Objetducommentaire">
    <w:name w:val="annotation subject"/>
    <w:basedOn w:val="Commentaire"/>
    <w:next w:val="Commentaire"/>
    <w:link w:val="ObjetducommentaireCar"/>
    <w:uiPriority w:val="99"/>
    <w:semiHidden/>
    <w:unhideWhenUsed/>
    <w:rsid w:val="00F000B0"/>
    <w:rPr>
      <w:rFonts w:asciiTheme="minorHAnsi" w:eastAsiaTheme="minorHAnsi" w:hAnsiTheme="minorHAnsi" w:cstheme="minorBidi"/>
      <w:b/>
      <w:bCs/>
      <w:sz w:val="20"/>
    </w:rPr>
  </w:style>
  <w:style w:type="paragraph" w:customStyle="1" w:styleId="Paragraphedeliste1">
    <w:name w:val="Paragraphe de liste1"/>
    <w:basedOn w:val="Default"/>
    <w:next w:val="Default"/>
    <w:uiPriority w:val="99"/>
    <w:rsid w:val="00F000B0"/>
    <w:rPr>
      <w:rFonts w:ascii="BLOHFC+Arial" w:hAnsi="BLOHFC+Arial" w:cstheme="minorBidi"/>
      <w:color w:val="auto"/>
    </w:rPr>
  </w:style>
  <w:style w:type="paragraph" w:styleId="En-tte">
    <w:name w:val="header"/>
    <w:basedOn w:val="Normal"/>
    <w:link w:val="En-tteCar"/>
    <w:uiPriority w:val="99"/>
    <w:unhideWhenUsed/>
    <w:rsid w:val="00F000B0"/>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F000B0"/>
  </w:style>
  <w:style w:type="paragraph" w:styleId="Rvision">
    <w:name w:val="Revision"/>
    <w:hidden/>
    <w:uiPriority w:val="99"/>
    <w:semiHidden/>
    <w:rsid w:val="004976F8"/>
    <w:pPr>
      <w:spacing w:after="0" w:line="240" w:lineRule="auto"/>
    </w:pPr>
    <w:rPr>
      <w:rFonts w:ascii="Calibri" w:eastAsia="Calibri" w:hAnsi="Calibri" w:cs="Times New Roman"/>
    </w:rPr>
  </w:style>
  <w:style w:type="table" w:styleId="Tableausimple1">
    <w:name w:val="Plain Table 1"/>
    <w:basedOn w:val="TableauNormal"/>
    <w:uiPriority w:val="41"/>
    <w:rsid w:val="003A6FE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
    <w:name w:val="Grid Table 1 Light"/>
    <w:basedOn w:val="TableauNormal"/>
    <w:uiPriority w:val="46"/>
    <w:rsid w:val="00D6058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drive.google.com/file/d/1qc9ADTsYzKpBJG7VtLPTocbme1UFf9BP/view" TargetMode="External"/><Relationship Id="rId26" Type="http://schemas.openxmlformats.org/officeDocument/2006/relationships/hyperlink" Target="https://drive.google.com/file/d/18XmGsV90yDqCda6g3aD3rmFivPDnIMqV/view" TargetMode="External"/><Relationship Id="rId39" Type="http://schemas.openxmlformats.org/officeDocument/2006/relationships/hyperlink" Target="http://www.itierdc.net/carte-de-la-rdc-cliquable/registre-petrolier/" TargetMode="External"/><Relationship Id="rId21" Type="http://schemas.openxmlformats.org/officeDocument/2006/relationships/hyperlink" Target="https://drive.google.com/file/d/1o1pXwAwAUiQP5lTfYmQlOkCB_IfsSsbq/view" TargetMode="External"/><Relationship Id="rId34" Type="http://schemas.openxmlformats.org/officeDocument/2006/relationships/image" Target="media/image4.jpeg"/><Relationship Id="rId42" Type="http://schemas.openxmlformats.org/officeDocument/2006/relationships/hyperlink" Target="http://www.bcc.cd/downloads/pub/rapann/rapport_annuel_2016.pdf" TargetMode="External"/><Relationship Id="rId47" Type="http://schemas.openxmlformats.org/officeDocument/2006/relationships/hyperlink" Target="https://drive.google.com/file/d/0B1C1Aj5TqAgvVHZNMlJDdWlJTjA/view" TargetMode="External"/><Relationship Id="rId50" Type="http://schemas.openxmlformats.org/officeDocument/2006/relationships/hyperlink" Target="https://drive.google.com/file/d/0B1C1Aj5TqAgvaVVmbnc0Vk1lY00/view"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drive.google.com/file/d/1h8CAO7P1hOZ1goVrKL-HMYSYN29rbLWW/view" TargetMode="External"/><Relationship Id="rId25" Type="http://schemas.openxmlformats.org/officeDocument/2006/relationships/hyperlink" Target="https://drive.google.com/file/d/18XmGsV90yDqCda6g3aD3rmFivPDnIMqV/view" TargetMode="External"/><Relationship Id="rId33" Type="http://schemas.openxmlformats.org/officeDocument/2006/relationships/image" Target="media/image3.png"/><Relationship Id="rId38" Type="http://schemas.openxmlformats.org/officeDocument/2006/relationships/hyperlink" Target="http://mines-rdc.cd/fr/index.php/contrats-des-ressources-naturelles/contrats-petroliers" TargetMode="External"/><Relationship Id="rId46" Type="http://schemas.openxmlformats.org/officeDocument/2006/relationships/image" Target="media/image5.png"/><Relationship Id="rId59"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anet.cd/Legislation/Droit%20economique/Code%20Minier/Loi.15.012.01.08.2015.html" TargetMode="External"/><Relationship Id="rId20" Type="http://schemas.openxmlformats.org/officeDocument/2006/relationships/hyperlink" Target="https://www.droitcongolais.info/files/11443_ordonnance_du_23_fevrier_2013_taxes_impo.pdf" TargetMode="External"/><Relationship Id="rId29" Type="http://schemas.openxmlformats.org/officeDocument/2006/relationships/hyperlink" Target="https://fr.wikipedia.org/wiki/Rwanda" TargetMode="External"/><Relationship Id="rId41" Type="http://schemas.openxmlformats.org/officeDocument/2006/relationships/hyperlink" Target="https://www.mines-rdc.cd." TargetMode="External"/><Relationship Id="rId54" Type="http://schemas.openxmlformats.org/officeDocument/2006/relationships/hyperlink" Target="http://www.leganet.cd/Legislation/Dfiscal/Finances/Loi%2015.021.31.1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s://drive.google.com/file/d/1GBz3CGnuDl6fVG39m46pnvb6fOqzneNa/view" TargetMode="External"/><Relationship Id="rId32" Type="http://schemas.openxmlformats.org/officeDocument/2006/relationships/hyperlink" Target="https://drive.google.com/open?id=1oexHfJ1Erj7ijUXMEcDbEy9EkwZb63_o" TargetMode="External"/><Relationship Id="rId37" Type="http://schemas.openxmlformats.org/officeDocument/2006/relationships/hyperlink" Target="http://www.itierdc.net/contrats-miniers/" TargetMode="External"/><Relationship Id="rId40" Type="http://schemas.openxmlformats.org/officeDocument/2006/relationships/hyperlink" Target="http://itierdc-data.masiavuvu.fr/donnees-itie/" TargetMode="External"/><Relationship Id="rId45" Type="http://schemas.openxmlformats.org/officeDocument/2006/relationships/hyperlink" Target="https://drive.google.com/open?id=1jP-JAAkHRBpWbLkkCbBlVtsl-_FNKFuW" TargetMode="External"/><Relationship Id="rId53" Type="http://schemas.openxmlformats.org/officeDocument/2006/relationships/chart" Target="charts/chart3.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file/d/18XmGsV90yDqCda6g3aD3rmFivPDnIMqV/view" TargetMode="External"/><Relationship Id="rId23" Type="http://schemas.openxmlformats.org/officeDocument/2006/relationships/hyperlink" Target="http://www.leganet.cd/Legislation/Droit%20Public/Ministeres/O.08.74.24.12.2008.htm" TargetMode="External"/><Relationship Id="rId28" Type="http://schemas.openxmlformats.org/officeDocument/2006/relationships/hyperlink" Target="https://fr.wikipedia.org/wiki/R%C3%A9publique_d%C3%A9mocratique_du_Congo" TargetMode="External"/><Relationship Id="rId36" Type="http://schemas.openxmlformats.org/officeDocument/2006/relationships/hyperlink" Target="http://mines-rdc.cd/fr/index.php/contrats-des-ressources-naturelles/contrats-miniers" TargetMode="External"/><Relationship Id="rId49" Type="http://schemas.openxmlformats.org/officeDocument/2006/relationships/hyperlink" Target="https://drive.google.com/file/d/0B1C1Aj5TqAgvMk9JWDMtTnNMcTA/view" TargetMode="External"/><Relationship Id="rId57" Type="http://schemas.openxmlformats.org/officeDocument/2006/relationships/hyperlink" Target="https://drive.google.com/file/d/18XmGsV90yDqCda6g3aD3rmFivPDnIMqV/view" TargetMode="External"/><Relationship Id="rId10" Type="http://schemas.openxmlformats.org/officeDocument/2006/relationships/diagramData" Target="diagrams/data1.xml"/><Relationship Id="rId19" Type="http://schemas.openxmlformats.org/officeDocument/2006/relationships/hyperlink" Target="http://cno.ohada.cd/OHADA-RDC/3_Textes_internes_(RDC)/Reglementation_changes_rdc.pdf" TargetMode="External"/><Relationship Id="rId31" Type="http://schemas.openxmlformats.org/officeDocument/2006/relationships/hyperlink" Target="https://fr.wikipedia.org/wiki/Lac_Nyos" TargetMode="External"/><Relationship Id="rId44" Type="http://schemas.openxmlformats.org/officeDocument/2006/relationships/hyperlink" Target="http://www.bcc.cd/downloads/pub/rapann/rapport_annuel_2016.pdf" TargetMode="External"/><Relationship Id="rId52" Type="http://schemas.openxmlformats.org/officeDocument/2006/relationships/chart" Target="charts/chart2.xm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gif"/><Relationship Id="rId14" Type="http://schemas.microsoft.com/office/2007/relationships/diagramDrawing" Target="diagrams/drawing1.xml"/><Relationship Id="rId22" Type="http://schemas.openxmlformats.org/officeDocument/2006/relationships/hyperlink" Target="http://leganet.cd/Legislation/JO/2016/JOS.12.11.2016.pdf" TargetMode="External"/><Relationship Id="rId27" Type="http://schemas.openxmlformats.org/officeDocument/2006/relationships/hyperlink" Target="https://fr.wikipedia.org/wiki/Grands_Lacs_(Afrique)" TargetMode="External"/><Relationship Id="rId30" Type="http://schemas.openxmlformats.org/officeDocument/2006/relationships/hyperlink" Target="https://fr.wikipedia.org/wiki/M%C3%A9thane" TargetMode="External"/><Relationship Id="rId35" Type="http://schemas.openxmlformats.org/officeDocument/2006/relationships/hyperlink" Target="https://drive.google.com/open?id=1ZZsDKEIDTLoRHe-9NJw34hG0yNV_BrtB" TargetMode="External"/><Relationship Id="rId43" Type="http://schemas.openxmlformats.org/officeDocument/2006/relationships/hyperlink" Target="http://itierdc-data.masiavuvu.fr/donnees-itie/" TargetMode="External"/><Relationship Id="rId48" Type="http://schemas.openxmlformats.org/officeDocument/2006/relationships/hyperlink" Target="https://drive.google.com/file/d/0B1C1Aj5TqAgvc2t6akRodkJmcHM/view"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hart" Target="charts/chart1.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drive.google.com/file/d/18XmGsV90yDqCda6g3aD3rmFivPDnIMqV/view" TargetMode="External"/><Relationship Id="rId3" Type="http://schemas.openxmlformats.org/officeDocument/2006/relationships/hyperlink" Target="https://drive.google.com/file/d/1qc9ADTsYzKpBJG7VtLPTocbme1UFf9BP/view" TargetMode="External"/><Relationship Id="rId7" Type="http://schemas.openxmlformats.org/officeDocument/2006/relationships/hyperlink" Target="https://drive.google.com/file/d/18XmGsV90yDqCda6g3aD3rmFivPDnIMqV/view" TargetMode="External"/><Relationship Id="rId2" Type="http://schemas.openxmlformats.org/officeDocument/2006/relationships/hyperlink" Target="https://drive.google.com/file/d/1h8CAO7P1hOZ1goVrKL-HMYSYN29rbLWW/view" TargetMode="External"/><Relationship Id="rId1" Type="http://schemas.openxmlformats.org/officeDocument/2006/relationships/hyperlink" Target="http://www.leganet.cd/Legislation/Droit%20economique/Code%20Minier/Loi.15.012.01.08.2015.html" TargetMode="External"/><Relationship Id="rId6" Type="http://schemas.openxmlformats.org/officeDocument/2006/relationships/hyperlink" Target="https://drive.google.com/file/d/1GBz3CGnuDl6fVG39m46pnvb6fOqzneNa/view" TargetMode="External"/><Relationship Id="rId5" Type="http://schemas.openxmlformats.org/officeDocument/2006/relationships/hyperlink" Target="https://www.droitcongolais.info/files/11443_ordonnance_du_23_fevrier_2013_taxes_impo.pdf" TargetMode="External"/><Relationship Id="rId10" Type="http://schemas.openxmlformats.org/officeDocument/2006/relationships/hyperlink" Target="https://drive.google.com/drive/u/1/folders/1cAsueIhKfyr6iUBQBXaRTKkKH3OIlgbc" TargetMode="External"/><Relationship Id="rId4" Type="http://schemas.openxmlformats.org/officeDocument/2006/relationships/hyperlink" Target="https://drive.google.com/file/d/1UbJivB7ntQmVAFVVPVvoo1vZorfnPGj3/view" TargetMode="External"/><Relationship Id="rId9" Type="http://schemas.openxmlformats.org/officeDocument/2006/relationships/hyperlink" Target="http://itierdc-data.masiavuvu.fr/donnees-i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D:\FRANCK%20NZIRA\BUREAU%20ORG\Elaboration%20du%20Rapport%20%202016\Calendrier%20GTT_proje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Graphique%20dans%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r-FR"/>
              <a:t>Répartion du PIB par secteur</a:t>
            </a:r>
          </a:p>
        </c:rich>
      </c:tx>
      <c:layout>
        <c:manualLayout>
          <c:xMode val="edge"/>
          <c:yMode val="edge"/>
          <c:x val="0.18607549857549857"/>
          <c:y val="3.3467202141900937E-2"/>
        </c:manualLayout>
      </c:layout>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A8DD-4B47-AB2B-91F247F90CD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A8DD-4B47-AB2B-91F247F90CD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A8DD-4B47-AB2B-91F247F90CD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A8DD-4B47-AB2B-91F247F90CD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A8DD-4B47-AB2B-91F247F90C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Feuil2!$C$10:$C$14</c:f>
              <c:strCache>
                <c:ptCount val="5"/>
                <c:pt idx="0">
                  <c:v> primaire</c:v>
                </c:pt>
                <c:pt idx="1">
                  <c:v>Industries extractives</c:v>
                </c:pt>
                <c:pt idx="2">
                  <c:v> secondaire</c:v>
                </c:pt>
                <c:pt idx="3">
                  <c:v> tertiaire</c:v>
                </c:pt>
                <c:pt idx="4">
                  <c:v>Taxes sur produit</c:v>
                </c:pt>
              </c:strCache>
            </c:strRef>
          </c:cat>
          <c:val>
            <c:numRef>
              <c:f>Feuil2!$D$10:$D$14</c:f>
              <c:numCache>
                <c:formatCode>0.00%</c:formatCode>
                <c:ptCount val="5"/>
                <c:pt idx="0">
                  <c:v>0.192</c:v>
                </c:pt>
                <c:pt idx="1">
                  <c:v>0.17799999999999999</c:v>
                </c:pt>
                <c:pt idx="2">
                  <c:v>0.222</c:v>
                </c:pt>
                <c:pt idx="3">
                  <c:v>0.34300000000000003</c:v>
                </c:pt>
                <c:pt idx="4">
                  <c:v>6.6000000000000003E-2</c:v>
                </c:pt>
              </c:numCache>
            </c:numRef>
          </c:val>
          <c:extLst xmlns:c16r2="http://schemas.microsoft.com/office/drawing/2015/06/chart">
            <c:ext xmlns:c16="http://schemas.microsoft.com/office/drawing/2014/chart" uri="{C3380CC4-5D6E-409C-BE32-E72D297353CC}">
              <c16:uniqueId val="{0000000A-A8DD-4B47-AB2B-91F247F90CD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a:t>Exportations du</a:t>
            </a:r>
            <a:r>
              <a:rPr lang="fr-FR" baseline="0"/>
              <a:t> secteur extractif en 2016 (</a:t>
            </a:r>
            <a:r>
              <a:rPr lang="fr-FR" sz="1400" baseline="0"/>
              <a:t>en Million de USD)</a:t>
            </a:r>
            <a:endParaRPr lang="fr-FR" sz="1400"/>
          </a:p>
        </c:rich>
      </c:tx>
      <c:overlay val="0"/>
      <c:spPr>
        <a:noFill/>
        <a:ln>
          <a:noFill/>
        </a:ln>
        <a:effectLst/>
      </c:spPr>
    </c:title>
    <c:autoTitleDeleted val="0"/>
    <c:plotArea>
      <c:layout/>
      <c:barChart>
        <c:barDir val="bar"/>
        <c:grouping val="clustered"/>
        <c:varyColors val="0"/>
        <c:ser>
          <c:idx val="0"/>
          <c:order val="0"/>
          <c:tx>
            <c:strRef>
              <c:f>'[Graphique dans Microsoft Word]Feuil2'!$D$3</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'[Graphique dans Microsoft Word]Feuil2'!$B$4:$B$12</c:f>
              <c:strCache>
                <c:ptCount val="9"/>
                <c:pt idx="0">
                  <c:v>Cuivre</c:v>
                </c:pt>
                <c:pt idx="1">
                  <c:v>Cobalt</c:v>
                </c:pt>
                <c:pt idx="2">
                  <c:v>Zinc</c:v>
                </c:pt>
                <c:pt idx="3">
                  <c:v>Plomb</c:v>
                </c:pt>
                <c:pt idx="4">
                  <c:v>Diamant</c:v>
                </c:pt>
                <c:pt idx="5">
                  <c:v>Or fin</c:v>
                </c:pt>
                <c:pt idx="6">
                  <c:v>Cassitérite</c:v>
                </c:pt>
                <c:pt idx="7">
                  <c:v>Autres</c:v>
                </c:pt>
                <c:pt idx="8">
                  <c:v>Pétrole brut</c:v>
                </c:pt>
              </c:strCache>
            </c:strRef>
          </c:cat>
          <c:val>
            <c:numRef>
              <c:f>'[Graphique dans Microsoft Word]Feuil2'!$C$4:$C$12</c:f>
              <c:numCache>
                <c:formatCode>#,##0.00</c:formatCode>
                <c:ptCount val="9"/>
                <c:pt idx="0">
                  <c:v>5762</c:v>
                </c:pt>
                <c:pt idx="1">
                  <c:v>2484.6</c:v>
                </c:pt>
                <c:pt idx="2" formatCode="General">
                  <c:v>24.7</c:v>
                </c:pt>
                <c:pt idx="3" formatCode="General">
                  <c:v>1.2</c:v>
                </c:pt>
                <c:pt idx="4" formatCode="General">
                  <c:v>254.2</c:v>
                </c:pt>
                <c:pt idx="5">
                  <c:v>1072.3</c:v>
                </c:pt>
                <c:pt idx="6" formatCode="General">
                  <c:v>0</c:v>
                </c:pt>
                <c:pt idx="7" formatCode="General">
                  <c:v>81.7</c:v>
                </c:pt>
                <c:pt idx="8" formatCode="General">
                  <c:v>403</c:v>
                </c:pt>
              </c:numCache>
            </c:numRef>
          </c:val>
          <c:extLst xmlns:c16r2="http://schemas.microsoft.com/office/drawing/2015/06/chart">
            <c:ext xmlns:c16="http://schemas.microsoft.com/office/drawing/2014/chart" uri="{C3380CC4-5D6E-409C-BE32-E72D297353CC}">
              <c16:uniqueId val="{00000000-E247-48BD-8E4D-D629A0A23253}"/>
            </c:ext>
          </c:extLst>
        </c:ser>
        <c:ser>
          <c:idx val="1"/>
          <c:order val="1"/>
          <c:tx>
            <c:strRef>
              <c:f>'[Graphique dans Microsoft Word]Feuil2'!$C$3</c:f>
              <c:strCache>
                <c:ptCount val="1"/>
                <c:pt idx="0">
                  <c:v>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'[Graphique dans Microsoft Word]Feuil2'!$B$4:$B$12</c:f>
              <c:strCache>
                <c:ptCount val="9"/>
                <c:pt idx="0">
                  <c:v>Cuivre</c:v>
                </c:pt>
                <c:pt idx="1">
                  <c:v>Cobalt</c:v>
                </c:pt>
                <c:pt idx="2">
                  <c:v>Zinc</c:v>
                </c:pt>
                <c:pt idx="3">
                  <c:v>Plomb</c:v>
                </c:pt>
                <c:pt idx="4">
                  <c:v>Diamant</c:v>
                </c:pt>
                <c:pt idx="5">
                  <c:v>Or fin</c:v>
                </c:pt>
                <c:pt idx="6">
                  <c:v>Cassitérite</c:v>
                </c:pt>
                <c:pt idx="7">
                  <c:v>Autres</c:v>
                </c:pt>
                <c:pt idx="8">
                  <c:v>Pétrole brut</c:v>
                </c:pt>
              </c:strCache>
            </c:strRef>
          </c:cat>
          <c:val>
            <c:numRef>
              <c:f>'[Graphique dans Microsoft Word]Feuil2'!$D$4:$D$12</c:f>
              <c:numCache>
                <c:formatCode>#,##0.00</c:formatCode>
                <c:ptCount val="9"/>
                <c:pt idx="0">
                  <c:v>5609.7</c:v>
                </c:pt>
                <c:pt idx="1">
                  <c:v>2071.1999999999998</c:v>
                </c:pt>
                <c:pt idx="2" formatCode="General">
                  <c:v>26.9</c:v>
                </c:pt>
                <c:pt idx="3" formatCode="General">
                  <c:v>0.2</c:v>
                </c:pt>
                <c:pt idx="4" formatCode="General">
                  <c:v>255.9</c:v>
                </c:pt>
                <c:pt idx="5">
                  <c:v>1322.5</c:v>
                </c:pt>
                <c:pt idx="6" formatCode="General">
                  <c:v>64.099999999999994</c:v>
                </c:pt>
                <c:pt idx="7" formatCode="General">
                  <c:v>47.8</c:v>
                </c:pt>
                <c:pt idx="8" formatCode="General">
                  <c:v>335.4</c:v>
                </c:pt>
              </c:numCache>
            </c:numRef>
          </c:val>
          <c:extLst xmlns:c16r2="http://schemas.microsoft.com/office/drawing/2015/06/chart">
            <c:ext xmlns:c16="http://schemas.microsoft.com/office/drawing/2014/chart" uri="{C3380CC4-5D6E-409C-BE32-E72D297353CC}">
              <c16:uniqueId val="{00000001-E247-48BD-8E4D-D629A0A23253}"/>
            </c:ext>
          </c:extLst>
        </c:ser>
        <c:dLbls>
          <c:showLegendKey val="0"/>
          <c:showVal val="0"/>
          <c:showCatName val="0"/>
          <c:showSerName val="0"/>
          <c:showPercent val="0"/>
          <c:showBubbleSize val="0"/>
        </c:dLbls>
        <c:gapWidth val="100"/>
        <c:axId val="825073296"/>
        <c:axId val="720859264"/>
      </c:barChart>
      <c:catAx>
        <c:axId val="82507329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FR"/>
                  <a:t>Produit</a:t>
                </a:r>
                <a:r>
                  <a:rPr lang="fr-FR" baseline="0"/>
                  <a:t>s </a:t>
                </a:r>
                <a:r>
                  <a:rPr lang="fr-FR"/>
                  <a:t>exportés</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720859264"/>
        <c:crosses val="autoZero"/>
        <c:auto val="1"/>
        <c:lblAlgn val="ctr"/>
        <c:lblOffset val="100"/>
        <c:noMultiLvlLbl val="0"/>
      </c:catAx>
      <c:valAx>
        <c:axId val="720859264"/>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825073296"/>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fr-FR" sz="1100"/>
              <a:t>Contribution</a:t>
            </a:r>
            <a:r>
              <a:rPr lang="fr-FR" sz="1100" baseline="0"/>
              <a:t> du secteur extractif dans les exportations en 2015 et 2016 (en million de USD) </a:t>
            </a:r>
            <a:endParaRPr lang="fr-FR" sz="1100"/>
          </a:p>
        </c:rich>
      </c:tx>
      <c:overlay val="0"/>
      <c:spPr>
        <a:noFill/>
        <a:ln>
          <a:noFill/>
        </a:ln>
        <a:effectLst/>
      </c:spPr>
    </c:title>
    <c:autoTitleDeleted val="0"/>
    <c:plotArea>
      <c:layout/>
      <c:barChart>
        <c:barDir val="bar"/>
        <c:grouping val="clustered"/>
        <c:varyColors val="0"/>
        <c:ser>
          <c:idx val="0"/>
          <c:order val="0"/>
          <c:tx>
            <c:strRef>
              <c:f>Feuil1!$C$27</c:f>
              <c:strCache>
                <c:ptCount val="1"/>
                <c:pt idx="0">
                  <c:v>Total secteur extractif</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Feuil1!$D$26:$E$26</c:f>
              <c:numCache>
                <c:formatCode>General</c:formatCode>
                <c:ptCount val="2"/>
                <c:pt idx="0">
                  <c:v>2015</c:v>
                </c:pt>
                <c:pt idx="1">
                  <c:v>2016</c:v>
                </c:pt>
              </c:numCache>
            </c:numRef>
          </c:cat>
          <c:val>
            <c:numRef>
              <c:f>Feuil1!$D$27:$E$27</c:f>
              <c:numCache>
                <c:formatCode>#,##0.00</c:formatCode>
                <c:ptCount val="2"/>
                <c:pt idx="0">
                  <c:v>10083.700000000001</c:v>
                </c:pt>
                <c:pt idx="1">
                  <c:v>9733.7000000000007</c:v>
                </c:pt>
              </c:numCache>
            </c:numRef>
          </c:val>
          <c:extLst xmlns:c16r2="http://schemas.microsoft.com/office/drawing/2015/06/chart">
            <c:ext xmlns:c16="http://schemas.microsoft.com/office/drawing/2014/chart" uri="{C3380CC4-5D6E-409C-BE32-E72D297353CC}">
              <c16:uniqueId val="{00000000-ACE9-4FB5-BAB5-CEB09CF39CBD}"/>
            </c:ext>
          </c:extLst>
        </c:ser>
        <c:ser>
          <c:idx val="1"/>
          <c:order val="1"/>
          <c:tx>
            <c:strRef>
              <c:f>Feuil1!$C$28</c:f>
              <c:strCache>
                <c:ptCount val="1"/>
                <c:pt idx="0">
                  <c:v>Total exportations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Feuil1!$D$26:$E$26</c:f>
              <c:numCache>
                <c:formatCode>General</c:formatCode>
                <c:ptCount val="2"/>
                <c:pt idx="0">
                  <c:v>2015</c:v>
                </c:pt>
                <c:pt idx="1">
                  <c:v>2016</c:v>
                </c:pt>
              </c:numCache>
            </c:numRef>
          </c:cat>
          <c:val>
            <c:numRef>
              <c:f>Feuil1!$D$28:$E$28</c:f>
              <c:numCache>
                <c:formatCode>#,##0.00</c:formatCode>
                <c:ptCount val="2"/>
                <c:pt idx="0">
                  <c:v>10284.799999999999</c:v>
                </c:pt>
                <c:pt idx="1">
                  <c:v>9979.9</c:v>
                </c:pt>
              </c:numCache>
            </c:numRef>
          </c:val>
          <c:extLst xmlns:c16r2="http://schemas.microsoft.com/office/drawing/2015/06/chart">
            <c:ext xmlns:c16="http://schemas.microsoft.com/office/drawing/2014/chart" uri="{C3380CC4-5D6E-409C-BE32-E72D297353CC}">
              <c16:uniqueId val="{00000001-ACE9-4FB5-BAB5-CEB09CF39CBD}"/>
            </c:ext>
          </c:extLst>
        </c:ser>
        <c:dLbls>
          <c:showLegendKey val="0"/>
          <c:showVal val="0"/>
          <c:showCatName val="0"/>
          <c:showSerName val="0"/>
          <c:showPercent val="0"/>
          <c:showBubbleSize val="0"/>
        </c:dLbls>
        <c:gapWidth val="115"/>
        <c:overlap val="-20"/>
        <c:axId val="720861616"/>
        <c:axId val="720860440"/>
      </c:barChart>
      <c:catAx>
        <c:axId val="72086161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2.5569502556950254E-2"/>
              <c:y val="0.23480752405949257"/>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0860440"/>
        <c:crosses val="autoZero"/>
        <c:auto val="1"/>
        <c:lblAlgn val="ctr"/>
        <c:lblOffset val="100"/>
        <c:noMultiLvlLbl val="0"/>
      </c:catAx>
      <c:valAx>
        <c:axId val="7208604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0861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33F753-0E87-4912-B56B-91A35399B18D}" type="doc">
      <dgm:prSet loTypeId="urn:microsoft.com/office/officeart/2005/8/layout/vList5" loCatId="list" qsTypeId="urn:microsoft.com/office/officeart/2005/8/quickstyle/simple3" qsCatId="simple" csTypeId="urn:microsoft.com/office/officeart/2005/8/colors/colorful5" csCatId="colorful" phldr="1"/>
      <dgm:spPr/>
      <dgm:t>
        <a:bodyPr/>
        <a:lstStyle/>
        <a:p>
          <a:endParaRPr lang="fr-FR"/>
        </a:p>
      </dgm:t>
    </dgm:pt>
    <dgm:pt modelId="{E0A68AE0-CF42-4B3C-887D-8501F291FB56}">
      <dgm:prSet phldrT="[Texte]" custT="1"/>
      <dgm:spPr>
        <a:xfrm>
          <a:off x="537386" y="8855"/>
          <a:ext cx="939833" cy="266104"/>
        </a:xfrm>
      </dgm:spPr>
      <dgm:t>
        <a:bodyPr/>
        <a:lstStyle/>
        <a:p>
          <a:r>
            <a:rPr lang="fr-FR" sz="800" b="1">
              <a:latin typeface="Calibri"/>
              <a:ea typeface="+mn-ea"/>
              <a:cs typeface="+mn-cs"/>
            </a:rPr>
            <a:t>TEXTES LEGAUX &amp; REGLEMENTAIRES</a:t>
          </a:r>
        </a:p>
      </dgm:t>
    </dgm:pt>
    <dgm:pt modelId="{C3405CCA-FF82-4267-B88A-9D9CD02F305E}" type="parTrans" cxnId="{43ED8F6E-8E45-40BC-A755-A2E82CD20273}">
      <dgm:prSet/>
      <dgm:spPr/>
      <dgm:t>
        <a:bodyPr/>
        <a:lstStyle/>
        <a:p>
          <a:endParaRPr lang="fr-FR"/>
        </a:p>
      </dgm:t>
    </dgm:pt>
    <dgm:pt modelId="{A6231FD4-7A77-4288-BFFD-C720E30721F8}" type="sibTrans" cxnId="{43ED8F6E-8E45-40BC-A755-A2E82CD20273}">
      <dgm:prSet/>
      <dgm:spPr/>
      <dgm:t>
        <a:bodyPr/>
        <a:lstStyle/>
        <a:p>
          <a:endParaRPr lang="fr-FR"/>
        </a:p>
      </dgm:t>
    </dgm:pt>
    <dgm:pt modelId="{1F91BC66-45FD-4919-875F-AB5049ABDC15}">
      <dgm:prSet phldrT="[Texte]" custT="1"/>
      <dgm:spPr>
        <a:xfrm rot="5400000">
          <a:off x="3127667" y="-1648853"/>
          <a:ext cx="280626" cy="3581521"/>
        </a:xfrm>
      </dgm:spPr>
      <dgm:t>
        <a:bodyPr lIns="108000" rIns="180000"/>
        <a:lstStyle/>
        <a:p>
          <a:r>
            <a:rPr lang="fr-FR" sz="900" b="0" kern="700" baseline="0">
              <a:ln/>
              <a:latin typeface="Calibri"/>
              <a:ea typeface="+mn-ea"/>
              <a:cs typeface="+mn-cs"/>
            </a:rPr>
            <a:t>Cadre légal et régime fiscal</a:t>
          </a:r>
        </a:p>
      </dgm:t>
    </dgm:pt>
    <dgm:pt modelId="{CA6A72D0-07CE-49EA-82F4-27B878EA63E3}" type="parTrans" cxnId="{7304756D-943C-4BE9-8481-52DDA7E6D29A}">
      <dgm:prSet/>
      <dgm:spPr/>
      <dgm:t>
        <a:bodyPr/>
        <a:lstStyle/>
        <a:p>
          <a:endParaRPr lang="fr-FR"/>
        </a:p>
      </dgm:t>
    </dgm:pt>
    <dgm:pt modelId="{3832CFCC-8F63-4F7C-9CA2-B30D5FFDF804}" type="sibTrans" cxnId="{7304756D-943C-4BE9-8481-52DDA7E6D29A}">
      <dgm:prSet/>
      <dgm:spPr/>
      <dgm:t>
        <a:bodyPr/>
        <a:lstStyle/>
        <a:p>
          <a:endParaRPr lang="fr-FR"/>
        </a:p>
      </dgm:t>
    </dgm:pt>
    <dgm:pt modelId="{5BB7AB63-AC45-493E-B9EA-B0AB6255C2C2}">
      <dgm:prSet custT="1"/>
      <dgm:spPr>
        <a:xfrm>
          <a:off x="537386" y="307021"/>
          <a:ext cx="939833" cy="266104"/>
        </a:xfrm>
      </dgm:spPr>
      <dgm:t>
        <a:bodyPr/>
        <a:lstStyle/>
        <a:p>
          <a:r>
            <a:rPr lang="fr-FR" sz="800" b="1">
              <a:latin typeface="Calibri"/>
              <a:ea typeface="+mn-ea"/>
              <a:cs typeface="+mn-cs"/>
            </a:rPr>
            <a:t>CAMI, SGH</a:t>
          </a:r>
        </a:p>
      </dgm:t>
    </dgm:pt>
    <dgm:pt modelId="{BED2F17C-F288-4568-8B94-21BED9969414}" type="parTrans" cxnId="{D1A5B6D2-479C-44A0-9B7C-3BEC25CC827D}">
      <dgm:prSet/>
      <dgm:spPr/>
      <dgm:t>
        <a:bodyPr/>
        <a:lstStyle/>
        <a:p>
          <a:endParaRPr lang="fr-FR"/>
        </a:p>
      </dgm:t>
    </dgm:pt>
    <dgm:pt modelId="{64311211-F32C-4554-A12C-6C9446F0DE27}" type="sibTrans" cxnId="{D1A5B6D2-479C-44A0-9B7C-3BEC25CC827D}">
      <dgm:prSet/>
      <dgm:spPr/>
      <dgm:t>
        <a:bodyPr/>
        <a:lstStyle/>
        <a:p>
          <a:endParaRPr lang="fr-FR"/>
        </a:p>
      </dgm:t>
    </dgm:pt>
    <dgm:pt modelId="{44BEC48A-98E9-48C9-81D0-94C46027A794}">
      <dgm:prSet custT="1"/>
      <dgm:spPr>
        <a:xfrm rot="5400000">
          <a:off x="3127667" y="-1350687"/>
          <a:ext cx="280626" cy="3581521"/>
        </a:xfrm>
      </dgm:spPr>
      <dgm:t>
        <a:bodyPr lIns="108000" rIns="180000"/>
        <a:lstStyle/>
        <a:p>
          <a:r>
            <a:rPr lang="fr-FR" sz="900" b="0" kern="700" baseline="0">
              <a:ln/>
              <a:latin typeface="Calibri"/>
              <a:ea typeface="+mn-ea"/>
              <a:cs typeface="+mn-cs"/>
            </a:rPr>
            <a:t>Procédures d'attribution  des droits</a:t>
          </a:r>
        </a:p>
      </dgm:t>
    </dgm:pt>
    <dgm:pt modelId="{2050BD4A-DE6C-4A59-8128-E6BF73CACD38}" type="parTrans" cxnId="{F94CC44C-E505-4098-8EB6-B2D76415835C}">
      <dgm:prSet/>
      <dgm:spPr/>
      <dgm:t>
        <a:bodyPr/>
        <a:lstStyle/>
        <a:p>
          <a:endParaRPr lang="fr-FR"/>
        </a:p>
      </dgm:t>
    </dgm:pt>
    <dgm:pt modelId="{FF884253-79CB-4E42-82F0-E21AEA72A1F0}" type="sibTrans" cxnId="{F94CC44C-E505-4098-8EB6-B2D76415835C}">
      <dgm:prSet/>
      <dgm:spPr/>
      <dgm:t>
        <a:bodyPr/>
        <a:lstStyle/>
        <a:p>
          <a:endParaRPr lang="fr-FR"/>
        </a:p>
      </dgm:t>
    </dgm:pt>
    <dgm:pt modelId="{7A8C8B25-2F5D-41AE-AC66-93D00C62EF11}">
      <dgm:prSet custT="1"/>
      <dgm:spPr>
        <a:xfrm>
          <a:off x="537386" y="605187"/>
          <a:ext cx="939833" cy="266104"/>
        </a:xfrm>
      </dgm:spPr>
      <dgm:t>
        <a:bodyPr/>
        <a:lstStyle/>
        <a:p>
          <a:r>
            <a:rPr lang="fr-FR" sz="800" b="1">
              <a:latin typeface="Calibri"/>
              <a:ea typeface="+mn-ea"/>
              <a:cs typeface="+mn-cs"/>
            </a:rPr>
            <a:t>CAMI, SGH</a:t>
          </a:r>
        </a:p>
      </dgm:t>
    </dgm:pt>
    <dgm:pt modelId="{6DC4C0EC-2653-49F8-9594-7E791F871854}" type="parTrans" cxnId="{DEC262A1-C234-422D-BD33-B1536D040D0C}">
      <dgm:prSet/>
      <dgm:spPr/>
      <dgm:t>
        <a:bodyPr/>
        <a:lstStyle/>
        <a:p>
          <a:endParaRPr lang="fr-FR"/>
        </a:p>
      </dgm:t>
    </dgm:pt>
    <dgm:pt modelId="{DB0E688F-A900-48C9-84F9-1EEA8EC1E883}" type="sibTrans" cxnId="{DEC262A1-C234-422D-BD33-B1536D040D0C}">
      <dgm:prSet/>
      <dgm:spPr/>
      <dgm:t>
        <a:bodyPr/>
        <a:lstStyle/>
        <a:p>
          <a:endParaRPr lang="fr-FR"/>
        </a:p>
      </dgm:t>
    </dgm:pt>
    <dgm:pt modelId="{F702FD2F-61DF-4F27-AB35-4A49C1C270BE}">
      <dgm:prSet custT="1"/>
      <dgm:spPr>
        <a:xfrm rot="5400000">
          <a:off x="3127667" y="-1052521"/>
          <a:ext cx="280626" cy="3581521"/>
        </a:xfrm>
      </dgm:spPr>
      <dgm:t>
        <a:bodyPr lIns="108000" rIns="180000"/>
        <a:lstStyle/>
        <a:p>
          <a:r>
            <a:rPr lang="fr-FR" sz="900" b="0" kern="700" baseline="0">
              <a:ln/>
              <a:latin typeface="Calibri"/>
              <a:ea typeface="+mn-ea"/>
              <a:cs typeface="+mn-cs"/>
            </a:rPr>
            <a:t>Registres de droits</a:t>
          </a:r>
        </a:p>
      </dgm:t>
    </dgm:pt>
    <dgm:pt modelId="{1BCD56A1-EC23-4869-AB5E-03A27BFF189E}" type="parTrans" cxnId="{41926623-170A-4344-898F-C87B7B17AD36}">
      <dgm:prSet/>
      <dgm:spPr/>
      <dgm:t>
        <a:bodyPr/>
        <a:lstStyle/>
        <a:p>
          <a:endParaRPr lang="fr-FR"/>
        </a:p>
      </dgm:t>
    </dgm:pt>
    <dgm:pt modelId="{4722041A-BDA9-42DE-903B-1D758C552A06}" type="sibTrans" cxnId="{41926623-170A-4344-898F-C87B7B17AD36}">
      <dgm:prSet/>
      <dgm:spPr/>
      <dgm:t>
        <a:bodyPr/>
        <a:lstStyle/>
        <a:p>
          <a:endParaRPr lang="fr-FR"/>
        </a:p>
      </dgm:t>
    </dgm:pt>
    <dgm:pt modelId="{623B77A5-6552-4C58-8682-7B833620E8DB}">
      <dgm:prSet custT="1"/>
      <dgm:spPr>
        <a:xfrm>
          <a:off x="537386" y="903353"/>
          <a:ext cx="939833" cy="266104"/>
        </a:xfrm>
      </dgm:spPr>
      <dgm:t>
        <a:bodyPr/>
        <a:lstStyle/>
        <a:p>
          <a:r>
            <a:rPr lang="fr-FR" sz="800" b="1">
              <a:latin typeface="Calibri"/>
              <a:ea typeface="+mn-ea"/>
              <a:cs typeface="+mn-cs"/>
            </a:rPr>
            <a:t>Min. PF, Mines, Hydro</a:t>
          </a:r>
        </a:p>
      </dgm:t>
    </dgm:pt>
    <dgm:pt modelId="{47355F99-9BB6-4AA9-9023-59FA76DFBD14}" type="parTrans" cxnId="{FD474AC3-72D6-46AE-8DB1-CF52B9103EED}">
      <dgm:prSet/>
      <dgm:spPr/>
      <dgm:t>
        <a:bodyPr/>
        <a:lstStyle/>
        <a:p>
          <a:endParaRPr lang="fr-FR"/>
        </a:p>
      </dgm:t>
    </dgm:pt>
    <dgm:pt modelId="{910AE067-E411-439D-9BD6-F95064C1CE0D}" type="sibTrans" cxnId="{FD474AC3-72D6-46AE-8DB1-CF52B9103EED}">
      <dgm:prSet/>
      <dgm:spPr/>
      <dgm:t>
        <a:bodyPr/>
        <a:lstStyle/>
        <a:p>
          <a:endParaRPr lang="fr-FR"/>
        </a:p>
      </dgm:t>
    </dgm:pt>
    <dgm:pt modelId="{149CBCB2-C0B8-456C-A106-D70E13763336}">
      <dgm:prSet custT="1"/>
      <dgm:spPr>
        <a:xfrm rot="5400000">
          <a:off x="3127667" y="-754355"/>
          <a:ext cx="280626" cy="3581521"/>
        </a:xfrm>
      </dgm:spPr>
      <dgm:t>
        <a:bodyPr lIns="108000" rIns="180000"/>
        <a:lstStyle/>
        <a:p>
          <a:r>
            <a:rPr lang="fr-FR" sz="900" b="0" kern="700" baseline="0">
              <a:ln/>
              <a:latin typeface="Calibri"/>
              <a:ea typeface="+mn-ea"/>
              <a:cs typeface="+mn-cs"/>
            </a:rPr>
            <a:t>Politique de publication des contrats </a:t>
          </a:r>
        </a:p>
      </dgm:t>
    </dgm:pt>
    <dgm:pt modelId="{0FB74CE1-4F09-4183-AB8B-E58898A0D4F3}" type="parTrans" cxnId="{B7F87FFA-FF58-4784-8EC0-613C2A47E2F0}">
      <dgm:prSet/>
      <dgm:spPr/>
      <dgm:t>
        <a:bodyPr/>
        <a:lstStyle/>
        <a:p>
          <a:endParaRPr lang="fr-FR"/>
        </a:p>
      </dgm:t>
    </dgm:pt>
    <dgm:pt modelId="{1D5FD501-9E46-4BE0-A2A9-8777A87246BF}" type="sibTrans" cxnId="{B7F87FFA-FF58-4784-8EC0-613C2A47E2F0}">
      <dgm:prSet/>
      <dgm:spPr/>
      <dgm:t>
        <a:bodyPr/>
        <a:lstStyle/>
        <a:p>
          <a:endParaRPr lang="fr-FR"/>
        </a:p>
      </dgm:t>
    </dgm:pt>
    <dgm:pt modelId="{57B99788-9046-4C03-8B73-4794AD2B2E9C}">
      <dgm:prSet custT="1"/>
      <dgm:spPr>
        <a:xfrm>
          <a:off x="537386" y="1201519"/>
          <a:ext cx="939833" cy="266104"/>
        </a:xfrm>
      </dgm:spPr>
      <dgm:t>
        <a:bodyPr/>
        <a:lstStyle/>
        <a:p>
          <a:r>
            <a:rPr lang="fr-FR" sz="800" b="1">
              <a:latin typeface="Calibri"/>
              <a:ea typeface="+mn-ea"/>
              <a:cs typeface="+mn-cs"/>
            </a:rPr>
            <a:t>ENTREPRISES</a:t>
          </a:r>
        </a:p>
      </dgm:t>
    </dgm:pt>
    <dgm:pt modelId="{D048256A-E5DD-497E-90EF-7A2307BFD194}" type="parTrans" cxnId="{D5BAF9F7-961B-4D41-BBDC-0E00229318AE}">
      <dgm:prSet/>
      <dgm:spPr/>
      <dgm:t>
        <a:bodyPr/>
        <a:lstStyle/>
        <a:p>
          <a:endParaRPr lang="fr-FR"/>
        </a:p>
      </dgm:t>
    </dgm:pt>
    <dgm:pt modelId="{9834E83A-B906-47A5-9506-23E448E2271F}" type="sibTrans" cxnId="{D5BAF9F7-961B-4D41-BBDC-0E00229318AE}">
      <dgm:prSet/>
      <dgm:spPr/>
      <dgm:t>
        <a:bodyPr/>
        <a:lstStyle/>
        <a:p>
          <a:endParaRPr lang="fr-FR"/>
        </a:p>
      </dgm:t>
    </dgm:pt>
    <dgm:pt modelId="{62AEA772-7D34-44F6-ADEC-5C9F79E9217B}">
      <dgm:prSet custT="1"/>
      <dgm:spPr>
        <a:xfrm rot="5400000">
          <a:off x="3127667" y="-456189"/>
          <a:ext cx="280626" cy="3581521"/>
        </a:xfrm>
      </dgm:spPr>
      <dgm:t>
        <a:bodyPr lIns="108000" rIns="180000"/>
        <a:lstStyle/>
        <a:p>
          <a:r>
            <a:rPr lang="fr-FR" sz="900" b="0" kern="700" baseline="0">
              <a:ln/>
              <a:latin typeface="Calibri"/>
              <a:ea typeface="+mn-ea"/>
              <a:cs typeface="+mn-cs"/>
            </a:rPr>
            <a:t>Propriété réelle</a:t>
          </a:r>
        </a:p>
      </dgm:t>
    </dgm:pt>
    <dgm:pt modelId="{8BD10442-BBB5-46D4-AA9D-0A91B2B82FDB}" type="parTrans" cxnId="{BDF3FE23-2A1F-4F84-9736-0A307F78FF95}">
      <dgm:prSet/>
      <dgm:spPr/>
      <dgm:t>
        <a:bodyPr/>
        <a:lstStyle/>
        <a:p>
          <a:endParaRPr lang="fr-FR"/>
        </a:p>
      </dgm:t>
    </dgm:pt>
    <dgm:pt modelId="{8F31B176-3ECB-4C1F-B875-D6F242F8F6F4}" type="sibTrans" cxnId="{BDF3FE23-2A1F-4F84-9736-0A307F78FF95}">
      <dgm:prSet/>
      <dgm:spPr/>
      <dgm:t>
        <a:bodyPr/>
        <a:lstStyle/>
        <a:p>
          <a:endParaRPr lang="fr-FR"/>
        </a:p>
      </dgm:t>
    </dgm:pt>
    <dgm:pt modelId="{26B3E9DC-DE66-4F2A-9675-06A8525BB456}">
      <dgm:prSet custT="1"/>
      <dgm:spPr>
        <a:xfrm>
          <a:off x="537386" y="1499684"/>
          <a:ext cx="939833" cy="266104"/>
        </a:xfrm>
      </dgm:spPr>
      <dgm:t>
        <a:bodyPr/>
        <a:lstStyle/>
        <a:p>
          <a:r>
            <a:rPr lang="fr-FR" sz="800" b="1">
              <a:latin typeface="Calibri"/>
              <a:ea typeface="+mn-ea"/>
              <a:cs typeface="+mn-cs"/>
            </a:rPr>
            <a:t>Min. du PF, EPE</a:t>
          </a:r>
        </a:p>
      </dgm:t>
    </dgm:pt>
    <dgm:pt modelId="{F8D9DDF4-FC56-47FC-AEAB-F8C6E28EDCE2}" type="parTrans" cxnId="{EFA76EB8-35FA-48C7-B7A2-7B0AE1E6B0C8}">
      <dgm:prSet/>
      <dgm:spPr/>
      <dgm:t>
        <a:bodyPr/>
        <a:lstStyle/>
        <a:p>
          <a:endParaRPr lang="fr-FR"/>
        </a:p>
      </dgm:t>
    </dgm:pt>
    <dgm:pt modelId="{09F4A4D5-C879-4C75-95EF-28210CC7C5FB}" type="sibTrans" cxnId="{EFA76EB8-35FA-48C7-B7A2-7B0AE1E6B0C8}">
      <dgm:prSet/>
      <dgm:spPr/>
      <dgm:t>
        <a:bodyPr/>
        <a:lstStyle/>
        <a:p>
          <a:endParaRPr lang="fr-FR"/>
        </a:p>
      </dgm:t>
    </dgm:pt>
    <dgm:pt modelId="{686C2973-3DA2-4657-8175-5474128DFAF0}">
      <dgm:prSet custT="1"/>
      <dgm:spPr>
        <a:xfrm rot="5400000">
          <a:off x="3127667" y="-158023"/>
          <a:ext cx="280626" cy="3581521"/>
        </a:xfrm>
      </dgm:spPr>
      <dgm:t>
        <a:bodyPr lIns="108000" rIns="180000"/>
        <a:lstStyle/>
        <a:p>
          <a:r>
            <a:rPr lang="fr-FR" sz="900" b="0" kern="700" baseline="0">
              <a:ln/>
              <a:latin typeface="Calibri"/>
              <a:ea typeface="+mn-ea"/>
              <a:cs typeface="+mn-cs"/>
            </a:rPr>
            <a:t>Participation de l'Etat dans les industries extractives</a:t>
          </a:r>
        </a:p>
      </dgm:t>
    </dgm:pt>
    <dgm:pt modelId="{435CF184-9DC5-45D0-9445-6C1239C84E14}" type="parTrans" cxnId="{C383781F-D894-4C27-B23F-98C675CDF32C}">
      <dgm:prSet/>
      <dgm:spPr/>
      <dgm:t>
        <a:bodyPr/>
        <a:lstStyle/>
        <a:p>
          <a:endParaRPr lang="fr-FR"/>
        </a:p>
      </dgm:t>
    </dgm:pt>
    <dgm:pt modelId="{337FD82D-36C4-4713-9DFC-D291F1624565}" type="sibTrans" cxnId="{C383781F-D894-4C27-B23F-98C675CDF32C}">
      <dgm:prSet/>
      <dgm:spPr/>
      <dgm:t>
        <a:bodyPr/>
        <a:lstStyle/>
        <a:p>
          <a:endParaRPr lang="fr-FR"/>
        </a:p>
      </dgm:t>
    </dgm:pt>
    <dgm:pt modelId="{D6B733E7-028D-4785-AFE8-BAA4C57C09B3}">
      <dgm:prSet custT="1"/>
      <dgm:spPr>
        <a:xfrm>
          <a:off x="537386" y="1797850"/>
          <a:ext cx="939833" cy="266104"/>
        </a:xfrm>
      </dgm:spPr>
      <dgm:t>
        <a:bodyPr/>
        <a:lstStyle/>
        <a:p>
          <a:r>
            <a:rPr lang="fr-FR" sz="700" b="1">
              <a:latin typeface="Calibri"/>
              <a:ea typeface="+mn-ea"/>
              <a:cs typeface="+mn-cs"/>
            </a:rPr>
            <a:t>ENTREPRISES, CTCPM,CAMI, BCC, SGH</a:t>
          </a:r>
        </a:p>
      </dgm:t>
    </dgm:pt>
    <dgm:pt modelId="{C535346D-BE5A-4821-A51F-5F952505A917}" type="parTrans" cxnId="{8D8B075D-9212-44BB-810F-885395355EAB}">
      <dgm:prSet/>
      <dgm:spPr/>
      <dgm:t>
        <a:bodyPr/>
        <a:lstStyle/>
        <a:p>
          <a:endParaRPr lang="fr-FR"/>
        </a:p>
      </dgm:t>
    </dgm:pt>
    <dgm:pt modelId="{0110ADD9-D957-411B-8DF5-C01F08A4B635}" type="sibTrans" cxnId="{8D8B075D-9212-44BB-810F-885395355EAB}">
      <dgm:prSet/>
      <dgm:spPr/>
      <dgm:t>
        <a:bodyPr/>
        <a:lstStyle/>
        <a:p>
          <a:endParaRPr lang="fr-FR"/>
        </a:p>
      </dgm:t>
    </dgm:pt>
    <dgm:pt modelId="{033CD385-B267-4099-96DF-3EC0A415BFB1}">
      <dgm:prSet custT="1"/>
      <dgm:spPr>
        <a:xfrm rot="5400000">
          <a:off x="3127667" y="140141"/>
          <a:ext cx="280626" cy="3581521"/>
        </a:xfrm>
      </dgm:spPr>
      <dgm:t>
        <a:bodyPr lIns="108000" rIns="180000"/>
        <a:lstStyle/>
        <a:p>
          <a:r>
            <a:rPr lang="fr-FR" sz="900" b="0" kern="700" baseline="0">
              <a:ln/>
              <a:latin typeface="Calibri"/>
              <a:ea typeface="+mn-ea"/>
              <a:cs typeface="+mn-cs"/>
            </a:rPr>
            <a:t>Prospection, production et exportations</a:t>
          </a:r>
        </a:p>
      </dgm:t>
    </dgm:pt>
    <dgm:pt modelId="{EC0403AC-CB47-486D-AD69-4D9B05649D0C}" type="parTrans" cxnId="{C887BF13-29C3-4BE2-A8B9-6381BF3C52CF}">
      <dgm:prSet/>
      <dgm:spPr/>
      <dgm:t>
        <a:bodyPr/>
        <a:lstStyle/>
        <a:p>
          <a:endParaRPr lang="fr-FR"/>
        </a:p>
      </dgm:t>
    </dgm:pt>
    <dgm:pt modelId="{E8ABFAF5-796D-44B8-87DA-643F3D7A7C9F}" type="sibTrans" cxnId="{C887BF13-29C3-4BE2-A8B9-6381BF3C52CF}">
      <dgm:prSet/>
      <dgm:spPr/>
      <dgm:t>
        <a:bodyPr/>
        <a:lstStyle/>
        <a:p>
          <a:endParaRPr lang="fr-FR"/>
        </a:p>
      </dgm:t>
    </dgm:pt>
    <dgm:pt modelId="{D00EA431-5EA0-4A9B-8D7F-C1F5ABD0871E}">
      <dgm:prSet custT="1"/>
      <dgm:spPr>
        <a:xfrm>
          <a:off x="537386" y="2096016"/>
          <a:ext cx="939833" cy="266104"/>
        </a:xfrm>
      </dgm:spPr>
      <dgm:t>
        <a:bodyPr/>
        <a:lstStyle/>
        <a:p>
          <a:r>
            <a:rPr lang="fr-FR" sz="800" b="1">
              <a:latin typeface="Calibri"/>
              <a:ea typeface="+mn-ea"/>
              <a:cs typeface="+mn-cs"/>
            </a:rPr>
            <a:t>CTR, BCC</a:t>
          </a:r>
        </a:p>
      </dgm:t>
    </dgm:pt>
    <dgm:pt modelId="{7FAACA6F-DA57-4704-8850-7E9BB064EC79}" type="parTrans" cxnId="{21E87CF8-8FCD-494A-9163-AAAE0CFE8E20}">
      <dgm:prSet/>
      <dgm:spPr/>
      <dgm:t>
        <a:bodyPr/>
        <a:lstStyle/>
        <a:p>
          <a:endParaRPr lang="fr-FR"/>
        </a:p>
      </dgm:t>
    </dgm:pt>
    <dgm:pt modelId="{7F93C2A7-09BD-40BD-B78F-040E0E87E7D0}" type="sibTrans" cxnId="{21E87CF8-8FCD-494A-9163-AAAE0CFE8E20}">
      <dgm:prSet/>
      <dgm:spPr/>
      <dgm:t>
        <a:bodyPr/>
        <a:lstStyle/>
        <a:p>
          <a:endParaRPr lang="fr-FR"/>
        </a:p>
      </dgm:t>
    </dgm:pt>
    <dgm:pt modelId="{A563DE17-A4BF-402B-A9AC-102258F55852}">
      <dgm:prSet custT="1"/>
      <dgm:spPr>
        <a:xfrm rot="5400000">
          <a:off x="3127667" y="438307"/>
          <a:ext cx="280626" cy="3581521"/>
        </a:xfrm>
      </dgm:spPr>
      <dgm:t>
        <a:bodyPr lIns="108000" rIns="180000"/>
        <a:lstStyle/>
        <a:p>
          <a:r>
            <a:rPr lang="fr-FR" sz="900" b="0" kern="700" baseline="0">
              <a:ln/>
              <a:latin typeface="Calibri"/>
              <a:ea typeface="+mn-ea"/>
              <a:cs typeface="+mn-cs"/>
            </a:rPr>
            <a:t>Transferts infranationaux</a:t>
          </a:r>
        </a:p>
      </dgm:t>
    </dgm:pt>
    <dgm:pt modelId="{20A71A6C-BD2B-46CF-AA91-E814F3AAC8FC}" type="parTrans" cxnId="{1C3755E5-CA80-4DA9-8070-EE9A18A2A5AC}">
      <dgm:prSet/>
      <dgm:spPr/>
      <dgm:t>
        <a:bodyPr/>
        <a:lstStyle/>
        <a:p>
          <a:endParaRPr lang="fr-FR"/>
        </a:p>
      </dgm:t>
    </dgm:pt>
    <dgm:pt modelId="{6B14C4F2-42EF-45EC-AC1E-EB4C4B6DB112}" type="sibTrans" cxnId="{1C3755E5-CA80-4DA9-8070-EE9A18A2A5AC}">
      <dgm:prSet/>
      <dgm:spPr/>
      <dgm:t>
        <a:bodyPr/>
        <a:lstStyle/>
        <a:p>
          <a:endParaRPr lang="fr-FR"/>
        </a:p>
      </dgm:t>
    </dgm:pt>
    <dgm:pt modelId="{C2EA40D1-631D-4255-A44A-936F85D67B6F}">
      <dgm:prSet custT="1"/>
      <dgm:spPr>
        <a:xfrm>
          <a:off x="537386" y="2394182"/>
          <a:ext cx="939833" cy="266104"/>
        </a:xfrm>
      </dgm:spPr>
      <dgm:t>
        <a:bodyPr/>
        <a:lstStyle/>
        <a:p>
          <a:r>
            <a:rPr lang="fr-FR" sz="800" b="1">
              <a:latin typeface="Calibri"/>
              <a:ea typeface="+mn-ea"/>
              <a:cs typeface="+mn-cs"/>
            </a:rPr>
            <a:t>ENTREPRISES</a:t>
          </a:r>
        </a:p>
      </dgm:t>
    </dgm:pt>
    <dgm:pt modelId="{89C01376-4CEC-42FE-AEF0-1E5C969D66A7}" type="parTrans" cxnId="{B0FFA7C1-4092-4E65-9B2D-07D0E75B37EE}">
      <dgm:prSet/>
      <dgm:spPr/>
      <dgm:t>
        <a:bodyPr/>
        <a:lstStyle/>
        <a:p>
          <a:endParaRPr lang="fr-FR"/>
        </a:p>
      </dgm:t>
    </dgm:pt>
    <dgm:pt modelId="{22DF22C3-9817-49B6-9642-F80DFAF87CD6}" type="sibTrans" cxnId="{B0FFA7C1-4092-4E65-9B2D-07D0E75B37EE}">
      <dgm:prSet/>
      <dgm:spPr/>
      <dgm:t>
        <a:bodyPr/>
        <a:lstStyle/>
        <a:p>
          <a:endParaRPr lang="fr-FR"/>
        </a:p>
      </dgm:t>
    </dgm:pt>
    <dgm:pt modelId="{EFF23425-5A6B-4E4F-9E42-7B960FD2C7E4}">
      <dgm:prSet custT="1"/>
      <dgm:spPr>
        <a:xfrm rot="5400000">
          <a:off x="3127667" y="736473"/>
          <a:ext cx="280626" cy="3581521"/>
        </a:xfrm>
      </dgm:spPr>
      <dgm:t>
        <a:bodyPr lIns="108000" rIns="180000"/>
        <a:lstStyle/>
        <a:p>
          <a:r>
            <a:rPr lang="fr-FR" sz="900" b="0" kern="700" baseline="0">
              <a:ln/>
              <a:latin typeface="Calibri"/>
              <a:ea typeface="+mn-ea"/>
              <a:cs typeface="+mn-cs"/>
            </a:rPr>
            <a:t>Dépenses  sociales</a:t>
          </a:r>
        </a:p>
      </dgm:t>
    </dgm:pt>
    <dgm:pt modelId="{DFC4A8EC-3075-451E-BB06-EB5F1FE66262}" type="parTrans" cxnId="{33B298C2-0841-4727-9A2E-0DB9119DC253}">
      <dgm:prSet/>
      <dgm:spPr/>
      <dgm:t>
        <a:bodyPr/>
        <a:lstStyle/>
        <a:p>
          <a:endParaRPr lang="fr-FR"/>
        </a:p>
      </dgm:t>
    </dgm:pt>
    <dgm:pt modelId="{023CF4AC-9DD8-4A48-978D-BD0C030B047A}" type="sibTrans" cxnId="{33B298C2-0841-4727-9A2E-0DB9119DC253}">
      <dgm:prSet/>
      <dgm:spPr/>
      <dgm:t>
        <a:bodyPr/>
        <a:lstStyle/>
        <a:p>
          <a:endParaRPr lang="fr-FR"/>
        </a:p>
      </dgm:t>
    </dgm:pt>
    <dgm:pt modelId="{7DD9B75B-FAEA-4A13-AEA7-779507A0D69B}">
      <dgm:prSet custT="1"/>
      <dgm:spPr>
        <a:xfrm>
          <a:off x="537386" y="2692348"/>
          <a:ext cx="939833" cy="266104"/>
        </a:xfrm>
      </dgm:spPr>
      <dgm:t>
        <a:bodyPr/>
        <a:lstStyle/>
        <a:p>
          <a:r>
            <a:rPr lang="fr-FR" sz="800" b="1">
              <a:latin typeface="Calibri"/>
              <a:ea typeface="+mn-ea"/>
              <a:cs typeface="+mn-cs"/>
            </a:rPr>
            <a:t>EPE</a:t>
          </a:r>
        </a:p>
      </dgm:t>
    </dgm:pt>
    <dgm:pt modelId="{66688FAC-5EA0-4780-A4F7-5041D334411C}" type="parTrans" cxnId="{D4134A29-D2C0-4831-94F6-14053A943D2E}">
      <dgm:prSet/>
      <dgm:spPr/>
      <dgm:t>
        <a:bodyPr/>
        <a:lstStyle/>
        <a:p>
          <a:endParaRPr lang="fr-FR"/>
        </a:p>
      </dgm:t>
    </dgm:pt>
    <dgm:pt modelId="{8C502A28-445E-4D44-B304-00FCE3107B5A}" type="sibTrans" cxnId="{D4134A29-D2C0-4831-94F6-14053A943D2E}">
      <dgm:prSet/>
      <dgm:spPr/>
      <dgm:t>
        <a:bodyPr/>
        <a:lstStyle/>
        <a:p>
          <a:endParaRPr lang="fr-FR"/>
        </a:p>
      </dgm:t>
    </dgm:pt>
    <dgm:pt modelId="{956A5F68-D29A-44EB-9321-4D19B929C948}">
      <dgm:prSet custT="1"/>
      <dgm:spPr>
        <a:xfrm rot="5400000">
          <a:off x="3127667" y="1034639"/>
          <a:ext cx="280626" cy="3581521"/>
        </a:xfrm>
      </dgm:spPr>
      <dgm:t>
        <a:bodyPr lIns="108000" rIns="180000"/>
        <a:lstStyle/>
        <a:p>
          <a:r>
            <a:rPr lang="fr-FR" sz="900" b="0" kern="700" baseline="0">
              <a:ln/>
              <a:latin typeface="Calibri"/>
              <a:ea typeface="+mn-ea"/>
              <a:cs typeface="+mn-cs"/>
            </a:rPr>
            <a:t>Dépenses  quasi fiscales</a:t>
          </a:r>
        </a:p>
      </dgm:t>
    </dgm:pt>
    <dgm:pt modelId="{B3544000-1D36-42A1-A946-9A269ECBEEA2}" type="parTrans" cxnId="{B0422E67-A18D-4309-8B04-B7198442329F}">
      <dgm:prSet/>
      <dgm:spPr/>
      <dgm:t>
        <a:bodyPr/>
        <a:lstStyle/>
        <a:p>
          <a:endParaRPr lang="fr-FR"/>
        </a:p>
      </dgm:t>
    </dgm:pt>
    <dgm:pt modelId="{F6FC4A1F-1151-49EB-A253-959D1AC0625C}" type="sibTrans" cxnId="{B0422E67-A18D-4309-8B04-B7198442329F}">
      <dgm:prSet/>
      <dgm:spPr/>
      <dgm:t>
        <a:bodyPr/>
        <a:lstStyle/>
        <a:p>
          <a:endParaRPr lang="fr-FR"/>
        </a:p>
      </dgm:t>
    </dgm:pt>
    <dgm:pt modelId="{2A73D675-600A-4643-9D98-A6AB00722249}">
      <dgm:prSet custT="1"/>
      <dgm:spPr>
        <a:xfrm>
          <a:off x="537386" y="2990514"/>
          <a:ext cx="939833" cy="266104"/>
        </a:xfrm>
      </dgm:spPr>
      <dgm:t>
        <a:bodyPr/>
        <a:lstStyle/>
        <a:p>
          <a:r>
            <a:rPr lang="fr-FR" sz="800" b="1">
              <a:latin typeface="Calibri"/>
              <a:ea typeface="+mn-ea"/>
              <a:cs typeface="+mn-cs"/>
            </a:rPr>
            <a:t>BCC, ONEM, ENTREPRISES</a:t>
          </a:r>
        </a:p>
      </dgm:t>
    </dgm:pt>
    <dgm:pt modelId="{5AAB271C-B104-4B54-BA0C-2752888A830A}" type="parTrans" cxnId="{08AF187A-BA3E-4AAB-B7CF-E794D76DDF1D}">
      <dgm:prSet/>
      <dgm:spPr/>
      <dgm:t>
        <a:bodyPr/>
        <a:lstStyle/>
        <a:p>
          <a:endParaRPr lang="fr-FR"/>
        </a:p>
      </dgm:t>
    </dgm:pt>
    <dgm:pt modelId="{0DE3D903-C7DB-4E5A-ACBE-28F7F90C107F}" type="sibTrans" cxnId="{08AF187A-BA3E-4AAB-B7CF-E794D76DDF1D}">
      <dgm:prSet/>
      <dgm:spPr/>
      <dgm:t>
        <a:bodyPr/>
        <a:lstStyle/>
        <a:p>
          <a:endParaRPr lang="fr-FR"/>
        </a:p>
      </dgm:t>
    </dgm:pt>
    <dgm:pt modelId="{407CEDE2-822F-474B-9398-0C0D02F8AEFC}">
      <dgm:prSet custT="1"/>
      <dgm:spPr>
        <a:xfrm rot="5400000">
          <a:off x="3127667" y="1332805"/>
          <a:ext cx="280626" cy="3581521"/>
        </a:xfrm>
      </dgm:spPr>
      <dgm:t>
        <a:bodyPr lIns="108000" rIns="180000"/>
        <a:lstStyle/>
        <a:p>
          <a:r>
            <a:rPr lang="fr-FR" sz="900" b="0" kern="700" baseline="0">
              <a:ln/>
              <a:latin typeface="Calibri"/>
              <a:ea typeface="+mn-ea"/>
              <a:cs typeface="+mn-cs"/>
            </a:rPr>
            <a:t>Contribution à l'économie</a:t>
          </a:r>
        </a:p>
      </dgm:t>
    </dgm:pt>
    <dgm:pt modelId="{502FC0BC-CE84-4CE3-98E8-66CB8A331977}" type="parTrans" cxnId="{741AE271-80C3-43E2-9FE8-0F6894CE6EB7}">
      <dgm:prSet/>
      <dgm:spPr/>
      <dgm:t>
        <a:bodyPr/>
        <a:lstStyle/>
        <a:p>
          <a:endParaRPr lang="fr-FR"/>
        </a:p>
      </dgm:t>
    </dgm:pt>
    <dgm:pt modelId="{274E6F98-FBC0-4B11-983B-FBE029F771D8}" type="sibTrans" cxnId="{741AE271-80C3-43E2-9FE8-0F6894CE6EB7}">
      <dgm:prSet/>
      <dgm:spPr/>
      <dgm:t>
        <a:bodyPr/>
        <a:lstStyle/>
        <a:p>
          <a:endParaRPr lang="fr-FR"/>
        </a:p>
      </dgm:t>
    </dgm:pt>
    <dgm:pt modelId="{2316C719-7D73-4FE1-8171-11CEE53CC10B}">
      <dgm:prSet phldrT="[Texte]" custT="1"/>
      <dgm:spPr>
        <a:xfrm>
          <a:off x="537386" y="8855"/>
          <a:ext cx="939833" cy="266104"/>
        </a:xfrm>
      </dgm:spPr>
      <dgm:t>
        <a:bodyPr/>
        <a:lstStyle/>
        <a:p>
          <a:r>
            <a:rPr lang="fr-FR" sz="900" b="1">
              <a:latin typeface="Calibri"/>
              <a:ea typeface="+mn-ea"/>
              <a:cs typeface="+mn-cs"/>
            </a:rPr>
            <a:t>SOURCES</a:t>
          </a:r>
        </a:p>
      </dgm:t>
    </dgm:pt>
    <dgm:pt modelId="{93E9335E-EACC-42A7-8E49-90B19583AAAD}" type="parTrans" cxnId="{D030B6E0-B47F-4CA2-9A59-93D1F195F730}">
      <dgm:prSet/>
      <dgm:spPr/>
      <dgm:t>
        <a:bodyPr/>
        <a:lstStyle/>
        <a:p>
          <a:endParaRPr lang="fr-FR"/>
        </a:p>
      </dgm:t>
    </dgm:pt>
    <dgm:pt modelId="{59649BFC-41D6-4A87-A346-2BADB8EB7A66}" type="sibTrans" cxnId="{D030B6E0-B47F-4CA2-9A59-93D1F195F730}">
      <dgm:prSet/>
      <dgm:spPr/>
      <dgm:t>
        <a:bodyPr/>
        <a:lstStyle/>
        <a:p>
          <a:endParaRPr lang="fr-FR"/>
        </a:p>
      </dgm:t>
    </dgm:pt>
    <dgm:pt modelId="{28B7A76B-1A2A-4D25-ACE2-45C424CE2F9C}">
      <dgm:prSet phldrT="[Texte]" custT="1"/>
      <dgm:spPr>
        <a:xfrm>
          <a:off x="537386" y="8855"/>
          <a:ext cx="939833" cy="266104"/>
        </a:xfrm>
      </dgm:spPr>
      <dgm:t>
        <a:bodyPr lIns="108000"/>
        <a:lstStyle/>
        <a:p>
          <a:r>
            <a:rPr lang="fr-FR" sz="900" b="1">
              <a:latin typeface="Calibri"/>
              <a:ea typeface="+mn-ea"/>
              <a:cs typeface="+mn-cs"/>
            </a:rPr>
            <a:t>INFORMATIONS</a:t>
          </a:r>
        </a:p>
      </dgm:t>
    </dgm:pt>
    <dgm:pt modelId="{BDACA8FB-421E-4C17-906A-8C6D696817D4}" type="parTrans" cxnId="{778E0C81-47D9-4B2B-BEE0-CEB7E4991ADE}">
      <dgm:prSet/>
      <dgm:spPr/>
      <dgm:t>
        <a:bodyPr/>
        <a:lstStyle/>
        <a:p>
          <a:endParaRPr lang="fr-FR"/>
        </a:p>
      </dgm:t>
    </dgm:pt>
    <dgm:pt modelId="{EBBC8349-DD9C-4EEF-899D-9AD5EE04BAE3}" type="sibTrans" cxnId="{778E0C81-47D9-4B2B-BEE0-CEB7E4991ADE}">
      <dgm:prSet/>
      <dgm:spPr/>
      <dgm:t>
        <a:bodyPr/>
        <a:lstStyle/>
        <a:p>
          <a:endParaRPr lang="fr-FR"/>
        </a:p>
      </dgm:t>
    </dgm:pt>
    <dgm:pt modelId="{2358CC19-7BCD-4555-B51B-8C9EDCB09362}" type="pres">
      <dgm:prSet presAssocID="{4433F753-0E87-4912-B56B-91A35399B18D}" presName="Name0" presStyleCnt="0">
        <dgm:presLayoutVars>
          <dgm:dir/>
          <dgm:animLvl val="lvl"/>
          <dgm:resizeHandles val="exact"/>
        </dgm:presLayoutVars>
      </dgm:prSet>
      <dgm:spPr/>
      <dgm:t>
        <a:bodyPr/>
        <a:lstStyle/>
        <a:p>
          <a:endParaRPr lang="fr-FR"/>
        </a:p>
      </dgm:t>
    </dgm:pt>
    <dgm:pt modelId="{32AB4E8A-911F-4433-9E04-DBB9D64DB917}" type="pres">
      <dgm:prSet presAssocID="{2316C719-7D73-4FE1-8171-11CEE53CC10B}" presName="linNode" presStyleCnt="0"/>
      <dgm:spPr/>
      <dgm:t>
        <a:bodyPr/>
        <a:lstStyle/>
        <a:p>
          <a:endParaRPr lang="fr-FR"/>
        </a:p>
      </dgm:t>
    </dgm:pt>
    <dgm:pt modelId="{6DBF155B-3DB4-468B-8166-93BD98A92496}" type="pres">
      <dgm:prSet presAssocID="{2316C719-7D73-4FE1-8171-11CEE53CC10B}" presName="parentText" presStyleLbl="node1" presStyleIdx="0" presStyleCnt="12" custScaleX="45243" custScaleY="68302">
        <dgm:presLayoutVars>
          <dgm:chMax val="1"/>
          <dgm:bulletEnabled val="1"/>
        </dgm:presLayoutVars>
      </dgm:prSet>
      <dgm:spPr>
        <a:prstGeom prst="rect">
          <a:avLst/>
        </a:prstGeom>
      </dgm:spPr>
      <dgm:t>
        <a:bodyPr/>
        <a:lstStyle/>
        <a:p>
          <a:endParaRPr lang="fr-FR"/>
        </a:p>
      </dgm:t>
    </dgm:pt>
    <dgm:pt modelId="{94201C64-1883-46E8-8132-837A31B56A89}" type="pres">
      <dgm:prSet presAssocID="{2316C719-7D73-4FE1-8171-11CEE53CC10B}" presName="descendantText" presStyleLbl="alignAccFollowNode1" presStyleIdx="0" presStyleCnt="12" custScaleY="96970" custLinFactNeighborX="1089" custLinFactNeighborY="-74">
        <dgm:presLayoutVars>
          <dgm:bulletEnabled val="1"/>
        </dgm:presLayoutVars>
      </dgm:prSet>
      <dgm:spPr>
        <a:prstGeom prst="rect">
          <a:avLst/>
        </a:prstGeom>
      </dgm:spPr>
      <dgm:t>
        <a:bodyPr/>
        <a:lstStyle/>
        <a:p>
          <a:endParaRPr lang="fr-FR"/>
        </a:p>
      </dgm:t>
    </dgm:pt>
    <dgm:pt modelId="{E1E6A204-4B27-4D59-B95F-33CDB4CF7824}" type="pres">
      <dgm:prSet presAssocID="{59649BFC-41D6-4A87-A346-2BADB8EB7A66}" presName="sp" presStyleCnt="0"/>
      <dgm:spPr/>
      <dgm:t>
        <a:bodyPr/>
        <a:lstStyle/>
        <a:p>
          <a:endParaRPr lang="fr-FR"/>
        </a:p>
      </dgm:t>
    </dgm:pt>
    <dgm:pt modelId="{CEF0E39E-74D9-45AA-BFD3-DB738FE0CB3E}" type="pres">
      <dgm:prSet presAssocID="{E0A68AE0-CF42-4B3C-887D-8501F291FB56}" presName="linNode" presStyleCnt="0"/>
      <dgm:spPr/>
      <dgm:t>
        <a:bodyPr/>
        <a:lstStyle/>
        <a:p>
          <a:endParaRPr lang="fr-FR"/>
        </a:p>
      </dgm:t>
    </dgm:pt>
    <dgm:pt modelId="{C5A072F3-2259-4AC6-B1AB-4EC81DE1E5EC}" type="pres">
      <dgm:prSet presAssocID="{E0A68AE0-CF42-4B3C-887D-8501F291FB56}" presName="parentText" presStyleLbl="node1" presStyleIdx="1" presStyleCnt="12" custScaleX="46651" custScaleY="75860">
        <dgm:presLayoutVars>
          <dgm:chMax val="1"/>
          <dgm:bulletEnabled val="1"/>
        </dgm:presLayoutVars>
      </dgm:prSet>
      <dgm:spPr>
        <a:prstGeom prst="homePlate">
          <a:avLst/>
        </a:prstGeom>
      </dgm:spPr>
      <dgm:t>
        <a:bodyPr/>
        <a:lstStyle/>
        <a:p>
          <a:endParaRPr lang="fr-FR"/>
        </a:p>
      </dgm:t>
    </dgm:pt>
    <dgm:pt modelId="{ECB7FF38-5158-4885-B518-511D0F829CDA}" type="pres">
      <dgm:prSet presAssocID="{E0A68AE0-CF42-4B3C-887D-8501F291FB56}" presName="descendantText" presStyleLbl="alignAccFollowNode1" presStyleIdx="1" presStyleCnt="12">
        <dgm:presLayoutVars>
          <dgm:bulletEnabled val="1"/>
        </dgm:presLayoutVars>
      </dgm:prSet>
      <dgm:spPr>
        <a:prstGeom prst="round2SameRect">
          <a:avLst/>
        </a:prstGeom>
      </dgm:spPr>
      <dgm:t>
        <a:bodyPr/>
        <a:lstStyle/>
        <a:p>
          <a:endParaRPr lang="fr-FR"/>
        </a:p>
      </dgm:t>
    </dgm:pt>
    <dgm:pt modelId="{566F2519-45CA-472E-A245-8BECD5482B0B}" type="pres">
      <dgm:prSet presAssocID="{A6231FD4-7A77-4288-BFFD-C720E30721F8}" presName="sp" presStyleCnt="0"/>
      <dgm:spPr/>
      <dgm:t>
        <a:bodyPr/>
        <a:lstStyle/>
        <a:p>
          <a:endParaRPr lang="fr-FR"/>
        </a:p>
      </dgm:t>
    </dgm:pt>
    <dgm:pt modelId="{1C7F647B-B269-47C8-AAA8-05716E004566}" type="pres">
      <dgm:prSet presAssocID="{5BB7AB63-AC45-493E-B9EA-B0AB6255C2C2}" presName="linNode" presStyleCnt="0"/>
      <dgm:spPr/>
      <dgm:t>
        <a:bodyPr/>
        <a:lstStyle/>
        <a:p>
          <a:endParaRPr lang="fr-FR"/>
        </a:p>
      </dgm:t>
    </dgm:pt>
    <dgm:pt modelId="{B3DDA239-C377-4CDD-8A26-2823DB3A2D64}" type="pres">
      <dgm:prSet presAssocID="{5BB7AB63-AC45-493E-B9EA-B0AB6255C2C2}" presName="parentText" presStyleLbl="node1" presStyleIdx="2" presStyleCnt="12" custScaleX="46651" custScaleY="75860">
        <dgm:presLayoutVars>
          <dgm:chMax val="1"/>
          <dgm:bulletEnabled val="1"/>
        </dgm:presLayoutVars>
      </dgm:prSet>
      <dgm:spPr>
        <a:prstGeom prst="homePlate">
          <a:avLst/>
        </a:prstGeom>
      </dgm:spPr>
      <dgm:t>
        <a:bodyPr/>
        <a:lstStyle/>
        <a:p>
          <a:endParaRPr lang="fr-FR"/>
        </a:p>
      </dgm:t>
    </dgm:pt>
    <dgm:pt modelId="{166BB038-8BE3-4B2F-8FE3-C66501D334FC}" type="pres">
      <dgm:prSet presAssocID="{5BB7AB63-AC45-493E-B9EA-B0AB6255C2C2}" presName="descendantText" presStyleLbl="alignAccFollowNode1" presStyleIdx="2" presStyleCnt="12">
        <dgm:presLayoutVars>
          <dgm:bulletEnabled val="1"/>
        </dgm:presLayoutVars>
      </dgm:prSet>
      <dgm:spPr>
        <a:prstGeom prst="round2SameRect">
          <a:avLst/>
        </a:prstGeom>
      </dgm:spPr>
      <dgm:t>
        <a:bodyPr/>
        <a:lstStyle/>
        <a:p>
          <a:endParaRPr lang="fr-FR"/>
        </a:p>
      </dgm:t>
    </dgm:pt>
    <dgm:pt modelId="{DBE4CC5D-1E80-4FEF-B842-4EBBDC4ABF1B}" type="pres">
      <dgm:prSet presAssocID="{64311211-F32C-4554-A12C-6C9446F0DE27}" presName="sp" presStyleCnt="0"/>
      <dgm:spPr/>
      <dgm:t>
        <a:bodyPr/>
        <a:lstStyle/>
        <a:p>
          <a:endParaRPr lang="fr-FR"/>
        </a:p>
      </dgm:t>
    </dgm:pt>
    <dgm:pt modelId="{0BA28A9C-68C0-4AB5-82B3-071A3CF331BF}" type="pres">
      <dgm:prSet presAssocID="{7A8C8B25-2F5D-41AE-AC66-93D00C62EF11}" presName="linNode" presStyleCnt="0"/>
      <dgm:spPr/>
      <dgm:t>
        <a:bodyPr/>
        <a:lstStyle/>
        <a:p>
          <a:endParaRPr lang="fr-FR"/>
        </a:p>
      </dgm:t>
    </dgm:pt>
    <dgm:pt modelId="{4076F337-B5D2-411F-9A6A-BC84B9A933F0}" type="pres">
      <dgm:prSet presAssocID="{7A8C8B25-2F5D-41AE-AC66-93D00C62EF11}" presName="parentText" presStyleLbl="node1" presStyleIdx="3" presStyleCnt="12" custScaleX="46651" custScaleY="75860">
        <dgm:presLayoutVars>
          <dgm:chMax val="1"/>
          <dgm:bulletEnabled val="1"/>
        </dgm:presLayoutVars>
      </dgm:prSet>
      <dgm:spPr>
        <a:prstGeom prst="homePlate">
          <a:avLst/>
        </a:prstGeom>
      </dgm:spPr>
      <dgm:t>
        <a:bodyPr/>
        <a:lstStyle/>
        <a:p>
          <a:endParaRPr lang="fr-FR"/>
        </a:p>
      </dgm:t>
    </dgm:pt>
    <dgm:pt modelId="{EE37B38A-A232-4B66-B9BB-9944B4245AA9}" type="pres">
      <dgm:prSet presAssocID="{7A8C8B25-2F5D-41AE-AC66-93D00C62EF11}" presName="descendantText" presStyleLbl="alignAccFollowNode1" presStyleIdx="3" presStyleCnt="12">
        <dgm:presLayoutVars>
          <dgm:bulletEnabled val="1"/>
        </dgm:presLayoutVars>
      </dgm:prSet>
      <dgm:spPr>
        <a:prstGeom prst="round2SameRect">
          <a:avLst/>
        </a:prstGeom>
      </dgm:spPr>
      <dgm:t>
        <a:bodyPr/>
        <a:lstStyle/>
        <a:p>
          <a:endParaRPr lang="fr-FR"/>
        </a:p>
      </dgm:t>
    </dgm:pt>
    <dgm:pt modelId="{1F11220F-0B7E-4260-BBBC-74FD33081E26}" type="pres">
      <dgm:prSet presAssocID="{DB0E688F-A900-48C9-84F9-1EEA8EC1E883}" presName="sp" presStyleCnt="0"/>
      <dgm:spPr/>
      <dgm:t>
        <a:bodyPr/>
        <a:lstStyle/>
        <a:p>
          <a:endParaRPr lang="fr-FR"/>
        </a:p>
      </dgm:t>
    </dgm:pt>
    <dgm:pt modelId="{75FC091B-D35C-4CE4-A41D-01134F00A9A2}" type="pres">
      <dgm:prSet presAssocID="{623B77A5-6552-4C58-8682-7B833620E8DB}" presName="linNode" presStyleCnt="0"/>
      <dgm:spPr/>
      <dgm:t>
        <a:bodyPr/>
        <a:lstStyle/>
        <a:p>
          <a:endParaRPr lang="fr-FR"/>
        </a:p>
      </dgm:t>
    </dgm:pt>
    <dgm:pt modelId="{2F71AE09-5FEC-4634-9A3D-3586FE659A59}" type="pres">
      <dgm:prSet presAssocID="{623B77A5-6552-4C58-8682-7B833620E8DB}" presName="parentText" presStyleLbl="node1" presStyleIdx="4" presStyleCnt="12" custScaleX="46651" custScaleY="75860">
        <dgm:presLayoutVars>
          <dgm:chMax val="1"/>
          <dgm:bulletEnabled val="1"/>
        </dgm:presLayoutVars>
      </dgm:prSet>
      <dgm:spPr>
        <a:prstGeom prst="homePlate">
          <a:avLst/>
        </a:prstGeom>
      </dgm:spPr>
      <dgm:t>
        <a:bodyPr/>
        <a:lstStyle/>
        <a:p>
          <a:endParaRPr lang="fr-FR"/>
        </a:p>
      </dgm:t>
    </dgm:pt>
    <dgm:pt modelId="{C603EED1-5EA4-43DB-AFE2-66008095961D}" type="pres">
      <dgm:prSet presAssocID="{623B77A5-6552-4C58-8682-7B833620E8DB}" presName="descendantText" presStyleLbl="alignAccFollowNode1" presStyleIdx="4" presStyleCnt="12" custLinFactNeighborX="946">
        <dgm:presLayoutVars>
          <dgm:bulletEnabled val="1"/>
        </dgm:presLayoutVars>
      </dgm:prSet>
      <dgm:spPr>
        <a:prstGeom prst="round2SameRect">
          <a:avLst/>
        </a:prstGeom>
      </dgm:spPr>
      <dgm:t>
        <a:bodyPr/>
        <a:lstStyle/>
        <a:p>
          <a:endParaRPr lang="fr-FR"/>
        </a:p>
      </dgm:t>
    </dgm:pt>
    <dgm:pt modelId="{1ED3917F-7471-4512-9F23-28F8271D6EF5}" type="pres">
      <dgm:prSet presAssocID="{910AE067-E411-439D-9BD6-F95064C1CE0D}" presName="sp" presStyleCnt="0"/>
      <dgm:spPr/>
      <dgm:t>
        <a:bodyPr/>
        <a:lstStyle/>
        <a:p>
          <a:endParaRPr lang="fr-FR"/>
        </a:p>
      </dgm:t>
    </dgm:pt>
    <dgm:pt modelId="{91C5237E-8EEE-4132-9350-DACC3C91DCAC}" type="pres">
      <dgm:prSet presAssocID="{57B99788-9046-4C03-8B73-4794AD2B2E9C}" presName="linNode" presStyleCnt="0"/>
      <dgm:spPr/>
      <dgm:t>
        <a:bodyPr/>
        <a:lstStyle/>
        <a:p>
          <a:endParaRPr lang="fr-FR"/>
        </a:p>
      </dgm:t>
    </dgm:pt>
    <dgm:pt modelId="{E3EA244C-3853-4E41-BC25-0BC2499716DD}" type="pres">
      <dgm:prSet presAssocID="{57B99788-9046-4C03-8B73-4794AD2B2E9C}" presName="parentText" presStyleLbl="node1" presStyleIdx="5" presStyleCnt="12" custScaleX="46651" custScaleY="75860">
        <dgm:presLayoutVars>
          <dgm:chMax val="1"/>
          <dgm:bulletEnabled val="1"/>
        </dgm:presLayoutVars>
      </dgm:prSet>
      <dgm:spPr>
        <a:prstGeom prst="homePlate">
          <a:avLst/>
        </a:prstGeom>
      </dgm:spPr>
      <dgm:t>
        <a:bodyPr/>
        <a:lstStyle/>
        <a:p>
          <a:endParaRPr lang="fr-FR"/>
        </a:p>
      </dgm:t>
    </dgm:pt>
    <dgm:pt modelId="{DAC18469-7E86-462E-A995-1F8C782528B0}" type="pres">
      <dgm:prSet presAssocID="{57B99788-9046-4C03-8B73-4794AD2B2E9C}" presName="descendantText" presStyleLbl="alignAccFollowNode1" presStyleIdx="5" presStyleCnt="12">
        <dgm:presLayoutVars>
          <dgm:bulletEnabled val="1"/>
        </dgm:presLayoutVars>
      </dgm:prSet>
      <dgm:spPr>
        <a:prstGeom prst="round2SameRect">
          <a:avLst/>
        </a:prstGeom>
      </dgm:spPr>
      <dgm:t>
        <a:bodyPr/>
        <a:lstStyle/>
        <a:p>
          <a:endParaRPr lang="fr-FR"/>
        </a:p>
      </dgm:t>
    </dgm:pt>
    <dgm:pt modelId="{649CD228-E279-435C-8D4A-20FCEF249FEA}" type="pres">
      <dgm:prSet presAssocID="{9834E83A-B906-47A5-9506-23E448E2271F}" presName="sp" presStyleCnt="0"/>
      <dgm:spPr/>
      <dgm:t>
        <a:bodyPr/>
        <a:lstStyle/>
        <a:p>
          <a:endParaRPr lang="fr-FR"/>
        </a:p>
      </dgm:t>
    </dgm:pt>
    <dgm:pt modelId="{E3E0FD2E-DD9A-433C-AAF1-71F4301475EE}" type="pres">
      <dgm:prSet presAssocID="{26B3E9DC-DE66-4F2A-9675-06A8525BB456}" presName="linNode" presStyleCnt="0"/>
      <dgm:spPr/>
      <dgm:t>
        <a:bodyPr/>
        <a:lstStyle/>
        <a:p>
          <a:endParaRPr lang="fr-FR"/>
        </a:p>
      </dgm:t>
    </dgm:pt>
    <dgm:pt modelId="{2EFD78ED-8B48-44A3-82AE-8CD5F2725C55}" type="pres">
      <dgm:prSet presAssocID="{26B3E9DC-DE66-4F2A-9675-06A8525BB456}" presName="parentText" presStyleLbl="node1" presStyleIdx="6" presStyleCnt="12" custScaleX="46651" custScaleY="75860">
        <dgm:presLayoutVars>
          <dgm:chMax val="1"/>
          <dgm:bulletEnabled val="1"/>
        </dgm:presLayoutVars>
      </dgm:prSet>
      <dgm:spPr>
        <a:prstGeom prst="homePlate">
          <a:avLst/>
        </a:prstGeom>
      </dgm:spPr>
      <dgm:t>
        <a:bodyPr/>
        <a:lstStyle/>
        <a:p>
          <a:endParaRPr lang="fr-FR"/>
        </a:p>
      </dgm:t>
    </dgm:pt>
    <dgm:pt modelId="{5668FB45-81EF-4AF9-992F-1EDC15A034AE}" type="pres">
      <dgm:prSet presAssocID="{26B3E9DC-DE66-4F2A-9675-06A8525BB456}" presName="descendantText" presStyleLbl="alignAccFollowNode1" presStyleIdx="6" presStyleCnt="12">
        <dgm:presLayoutVars>
          <dgm:bulletEnabled val="1"/>
        </dgm:presLayoutVars>
      </dgm:prSet>
      <dgm:spPr>
        <a:prstGeom prst="round2SameRect">
          <a:avLst/>
        </a:prstGeom>
      </dgm:spPr>
      <dgm:t>
        <a:bodyPr/>
        <a:lstStyle/>
        <a:p>
          <a:endParaRPr lang="fr-FR"/>
        </a:p>
      </dgm:t>
    </dgm:pt>
    <dgm:pt modelId="{871813B5-23E7-41D5-9199-0254A76BF456}" type="pres">
      <dgm:prSet presAssocID="{09F4A4D5-C879-4C75-95EF-28210CC7C5FB}" presName="sp" presStyleCnt="0"/>
      <dgm:spPr/>
      <dgm:t>
        <a:bodyPr/>
        <a:lstStyle/>
        <a:p>
          <a:endParaRPr lang="fr-FR"/>
        </a:p>
      </dgm:t>
    </dgm:pt>
    <dgm:pt modelId="{E438EF38-34CA-4F3D-81C1-DC08809A01BE}" type="pres">
      <dgm:prSet presAssocID="{D6B733E7-028D-4785-AFE8-BAA4C57C09B3}" presName="linNode" presStyleCnt="0"/>
      <dgm:spPr/>
      <dgm:t>
        <a:bodyPr/>
        <a:lstStyle/>
        <a:p>
          <a:endParaRPr lang="fr-FR"/>
        </a:p>
      </dgm:t>
    </dgm:pt>
    <dgm:pt modelId="{348B7866-D543-4494-A5A9-BB36B7F4CF80}" type="pres">
      <dgm:prSet presAssocID="{D6B733E7-028D-4785-AFE8-BAA4C57C09B3}" presName="parentText" presStyleLbl="node1" presStyleIdx="7" presStyleCnt="12" custScaleX="46651" custScaleY="75860">
        <dgm:presLayoutVars>
          <dgm:chMax val="1"/>
          <dgm:bulletEnabled val="1"/>
        </dgm:presLayoutVars>
      </dgm:prSet>
      <dgm:spPr>
        <a:prstGeom prst="homePlate">
          <a:avLst/>
        </a:prstGeom>
      </dgm:spPr>
      <dgm:t>
        <a:bodyPr/>
        <a:lstStyle/>
        <a:p>
          <a:endParaRPr lang="fr-FR"/>
        </a:p>
      </dgm:t>
    </dgm:pt>
    <dgm:pt modelId="{FD6F9629-897A-48F4-8FD2-83C4978D2646}" type="pres">
      <dgm:prSet presAssocID="{D6B733E7-028D-4785-AFE8-BAA4C57C09B3}" presName="descendantText" presStyleLbl="alignAccFollowNode1" presStyleIdx="7" presStyleCnt="12">
        <dgm:presLayoutVars>
          <dgm:bulletEnabled val="1"/>
        </dgm:presLayoutVars>
      </dgm:prSet>
      <dgm:spPr>
        <a:prstGeom prst="round2SameRect">
          <a:avLst/>
        </a:prstGeom>
      </dgm:spPr>
      <dgm:t>
        <a:bodyPr/>
        <a:lstStyle/>
        <a:p>
          <a:endParaRPr lang="fr-FR"/>
        </a:p>
      </dgm:t>
    </dgm:pt>
    <dgm:pt modelId="{DC9B5D4B-D27D-4C06-BC65-D5745212A286}" type="pres">
      <dgm:prSet presAssocID="{0110ADD9-D957-411B-8DF5-C01F08A4B635}" presName="sp" presStyleCnt="0"/>
      <dgm:spPr/>
      <dgm:t>
        <a:bodyPr/>
        <a:lstStyle/>
        <a:p>
          <a:endParaRPr lang="fr-FR"/>
        </a:p>
      </dgm:t>
    </dgm:pt>
    <dgm:pt modelId="{755EC65C-17C5-47DD-A6BA-3C689FEF8B73}" type="pres">
      <dgm:prSet presAssocID="{D00EA431-5EA0-4A9B-8D7F-C1F5ABD0871E}" presName="linNode" presStyleCnt="0"/>
      <dgm:spPr/>
      <dgm:t>
        <a:bodyPr/>
        <a:lstStyle/>
        <a:p>
          <a:endParaRPr lang="fr-FR"/>
        </a:p>
      </dgm:t>
    </dgm:pt>
    <dgm:pt modelId="{ECF84230-D726-4FDA-87E0-B0CFDD9D2804}" type="pres">
      <dgm:prSet presAssocID="{D00EA431-5EA0-4A9B-8D7F-C1F5ABD0871E}" presName="parentText" presStyleLbl="node1" presStyleIdx="8" presStyleCnt="12" custScaleX="46651" custScaleY="75860">
        <dgm:presLayoutVars>
          <dgm:chMax val="1"/>
          <dgm:bulletEnabled val="1"/>
        </dgm:presLayoutVars>
      </dgm:prSet>
      <dgm:spPr>
        <a:prstGeom prst="homePlate">
          <a:avLst/>
        </a:prstGeom>
      </dgm:spPr>
      <dgm:t>
        <a:bodyPr/>
        <a:lstStyle/>
        <a:p>
          <a:endParaRPr lang="fr-FR"/>
        </a:p>
      </dgm:t>
    </dgm:pt>
    <dgm:pt modelId="{D345C441-DFDC-4761-A367-3E4BCDCA872D}" type="pres">
      <dgm:prSet presAssocID="{D00EA431-5EA0-4A9B-8D7F-C1F5ABD0871E}" presName="descendantText" presStyleLbl="alignAccFollowNode1" presStyleIdx="8" presStyleCnt="12">
        <dgm:presLayoutVars>
          <dgm:bulletEnabled val="1"/>
        </dgm:presLayoutVars>
      </dgm:prSet>
      <dgm:spPr>
        <a:prstGeom prst="round2SameRect">
          <a:avLst/>
        </a:prstGeom>
      </dgm:spPr>
      <dgm:t>
        <a:bodyPr/>
        <a:lstStyle/>
        <a:p>
          <a:endParaRPr lang="fr-FR"/>
        </a:p>
      </dgm:t>
    </dgm:pt>
    <dgm:pt modelId="{6E08305A-9F74-452F-8F4E-4150DC974190}" type="pres">
      <dgm:prSet presAssocID="{7F93C2A7-09BD-40BD-B78F-040E0E87E7D0}" presName="sp" presStyleCnt="0"/>
      <dgm:spPr/>
      <dgm:t>
        <a:bodyPr/>
        <a:lstStyle/>
        <a:p>
          <a:endParaRPr lang="fr-FR"/>
        </a:p>
      </dgm:t>
    </dgm:pt>
    <dgm:pt modelId="{AEC0700F-AC68-45CC-88D4-FDC2AB7187EA}" type="pres">
      <dgm:prSet presAssocID="{C2EA40D1-631D-4255-A44A-936F85D67B6F}" presName="linNode" presStyleCnt="0"/>
      <dgm:spPr/>
      <dgm:t>
        <a:bodyPr/>
        <a:lstStyle/>
        <a:p>
          <a:endParaRPr lang="fr-FR"/>
        </a:p>
      </dgm:t>
    </dgm:pt>
    <dgm:pt modelId="{759AC901-B5C6-4C65-B2DE-56614DEC4387}" type="pres">
      <dgm:prSet presAssocID="{C2EA40D1-631D-4255-A44A-936F85D67B6F}" presName="parentText" presStyleLbl="node1" presStyleIdx="9" presStyleCnt="12" custScaleX="46651" custScaleY="75860">
        <dgm:presLayoutVars>
          <dgm:chMax val="1"/>
          <dgm:bulletEnabled val="1"/>
        </dgm:presLayoutVars>
      </dgm:prSet>
      <dgm:spPr>
        <a:prstGeom prst="homePlate">
          <a:avLst/>
        </a:prstGeom>
      </dgm:spPr>
      <dgm:t>
        <a:bodyPr/>
        <a:lstStyle/>
        <a:p>
          <a:endParaRPr lang="fr-FR"/>
        </a:p>
      </dgm:t>
    </dgm:pt>
    <dgm:pt modelId="{F836AA0D-C047-4039-96C4-B69E990CBFE0}" type="pres">
      <dgm:prSet presAssocID="{C2EA40D1-631D-4255-A44A-936F85D67B6F}" presName="descendantText" presStyleLbl="alignAccFollowNode1" presStyleIdx="9" presStyleCnt="12">
        <dgm:presLayoutVars>
          <dgm:bulletEnabled val="1"/>
        </dgm:presLayoutVars>
      </dgm:prSet>
      <dgm:spPr>
        <a:prstGeom prst="round2SameRect">
          <a:avLst/>
        </a:prstGeom>
      </dgm:spPr>
      <dgm:t>
        <a:bodyPr/>
        <a:lstStyle/>
        <a:p>
          <a:endParaRPr lang="fr-FR"/>
        </a:p>
      </dgm:t>
    </dgm:pt>
    <dgm:pt modelId="{41760BC8-AAF6-4CFC-B21C-C9FCE9AC0BF9}" type="pres">
      <dgm:prSet presAssocID="{22DF22C3-9817-49B6-9642-F80DFAF87CD6}" presName="sp" presStyleCnt="0"/>
      <dgm:spPr/>
      <dgm:t>
        <a:bodyPr/>
        <a:lstStyle/>
        <a:p>
          <a:endParaRPr lang="fr-FR"/>
        </a:p>
      </dgm:t>
    </dgm:pt>
    <dgm:pt modelId="{E1CA8204-C589-489D-BA2A-FD2B83B49641}" type="pres">
      <dgm:prSet presAssocID="{7DD9B75B-FAEA-4A13-AEA7-779507A0D69B}" presName="linNode" presStyleCnt="0"/>
      <dgm:spPr/>
      <dgm:t>
        <a:bodyPr/>
        <a:lstStyle/>
        <a:p>
          <a:endParaRPr lang="fr-FR"/>
        </a:p>
      </dgm:t>
    </dgm:pt>
    <dgm:pt modelId="{527A6DB8-CC8D-4117-B64B-FE1C51498EDF}" type="pres">
      <dgm:prSet presAssocID="{7DD9B75B-FAEA-4A13-AEA7-779507A0D69B}" presName="parentText" presStyleLbl="node1" presStyleIdx="10" presStyleCnt="12" custScaleX="46651" custScaleY="75860">
        <dgm:presLayoutVars>
          <dgm:chMax val="1"/>
          <dgm:bulletEnabled val="1"/>
        </dgm:presLayoutVars>
      </dgm:prSet>
      <dgm:spPr>
        <a:prstGeom prst="homePlate">
          <a:avLst/>
        </a:prstGeom>
      </dgm:spPr>
      <dgm:t>
        <a:bodyPr/>
        <a:lstStyle/>
        <a:p>
          <a:endParaRPr lang="fr-FR"/>
        </a:p>
      </dgm:t>
    </dgm:pt>
    <dgm:pt modelId="{CF454B15-5CC5-4910-A3C4-9B5F573E73EA}" type="pres">
      <dgm:prSet presAssocID="{7DD9B75B-FAEA-4A13-AEA7-779507A0D69B}" presName="descendantText" presStyleLbl="alignAccFollowNode1" presStyleIdx="10" presStyleCnt="12">
        <dgm:presLayoutVars>
          <dgm:bulletEnabled val="1"/>
        </dgm:presLayoutVars>
      </dgm:prSet>
      <dgm:spPr>
        <a:prstGeom prst="round2SameRect">
          <a:avLst/>
        </a:prstGeom>
      </dgm:spPr>
      <dgm:t>
        <a:bodyPr/>
        <a:lstStyle/>
        <a:p>
          <a:endParaRPr lang="fr-FR"/>
        </a:p>
      </dgm:t>
    </dgm:pt>
    <dgm:pt modelId="{9E76DF7E-19C4-459F-8651-309671F98C54}" type="pres">
      <dgm:prSet presAssocID="{8C502A28-445E-4D44-B304-00FCE3107B5A}" presName="sp" presStyleCnt="0"/>
      <dgm:spPr/>
      <dgm:t>
        <a:bodyPr/>
        <a:lstStyle/>
        <a:p>
          <a:endParaRPr lang="fr-FR"/>
        </a:p>
      </dgm:t>
    </dgm:pt>
    <dgm:pt modelId="{F3DB54BB-C9F5-4DDC-9C74-5CA0747A5AC7}" type="pres">
      <dgm:prSet presAssocID="{2A73D675-600A-4643-9D98-A6AB00722249}" presName="linNode" presStyleCnt="0"/>
      <dgm:spPr/>
      <dgm:t>
        <a:bodyPr/>
        <a:lstStyle/>
        <a:p>
          <a:endParaRPr lang="fr-FR"/>
        </a:p>
      </dgm:t>
    </dgm:pt>
    <dgm:pt modelId="{491281F3-ADC6-4D0B-A518-AE608E34DFB6}" type="pres">
      <dgm:prSet presAssocID="{2A73D675-600A-4643-9D98-A6AB00722249}" presName="parentText" presStyleLbl="node1" presStyleIdx="11" presStyleCnt="12" custScaleX="46651" custScaleY="75860">
        <dgm:presLayoutVars>
          <dgm:chMax val="1"/>
          <dgm:bulletEnabled val="1"/>
        </dgm:presLayoutVars>
      </dgm:prSet>
      <dgm:spPr>
        <a:prstGeom prst="homePlate">
          <a:avLst/>
        </a:prstGeom>
      </dgm:spPr>
      <dgm:t>
        <a:bodyPr/>
        <a:lstStyle/>
        <a:p>
          <a:endParaRPr lang="fr-FR"/>
        </a:p>
      </dgm:t>
    </dgm:pt>
    <dgm:pt modelId="{522CCA70-A8BE-4659-8C00-496B771079DC}" type="pres">
      <dgm:prSet presAssocID="{2A73D675-600A-4643-9D98-A6AB00722249}" presName="descendantText" presStyleLbl="alignAccFollowNode1" presStyleIdx="11" presStyleCnt="12">
        <dgm:presLayoutVars>
          <dgm:bulletEnabled val="1"/>
        </dgm:presLayoutVars>
      </dgm:prSet>
      <dgm:spPr>
        <a:prstGeom prst="round2SameRect">
          <a:avLst/>
        </a:prstGeom>
      </dgm:spPr>
      <dgm:t>
        <a:bodyPr/>
        <a:lstStyle/>
        <a:p>
          <a:endParaRPr lang="fr-FR"/>
        </a:p>
      </dgm:t>
    </dgm:pt>
  </dgm:ptLst>
  <dgm:cxnLst>
    <dgm:cxn modelId="{8D8B075D-9212-44BB-810F-885395355EAB}" srcId="{4433F753-0E87-4912-B56B-91A35399B18D}" destId="{D6B733E7-028D-4785-AFE8-BAA4C57C09B3}" srcOrd="7" destOrd="0" parTransId="{C535346D-BE5A-4821-A51F-5F952505A917}" sibTransId="{0110ADD9-D957-411B-8DF5-C01F08A4B635}"/>
    <dgm:cxn modelId="{3301BAD4-2108-439A-A4E9-17884F8D610D}" type="presOf" srcId="{A563DE17-A4BF-402B-A9AC-102258F55852}" destId="{D345C441-DFDC-4761-A367-3E4BCDCA872D}" srcOrd="0" destOrd="0" presId="urn:microsoft.com/office/officeart/2005/8/layout/vList5"/>
    <dgm:cxn modelId="{7D7AA609-BA68-4C76-A157-585520716230}" type="presOf" srcId="{149CBCB2-C0B8-456C-A106-D70E13763336}" destId="{C603EED1-5EA4-43DB-AFE2-66008095961D}" srcOrd="0" destOrd="0" presId="urn:microsoft.com/office/officeart/2005/8/layout/vList5"/>
    <dgm:cxn modelId="{383E9DEA-171B-4788-AA6B-EDD9D31C30FC}" type="presOf" srcId="{407CEDE2-822F-474B-9398-0C0D02F8AEFC}" destId="{522CCA70-A8BE-4659-8C00-496B771079DC}" srcOrd="0" destOrd="0" presId="urn:microsoft.com/office/officeart/2005/8/layout/vList5"/>
    <dgm:cxn modelId="{EFA76EB8-35FA-48C7-B7A2-7B0AE1E6B0C8}" srcId="{4433F753-0E87-4912-B56B-91A35399B18D}" destId="{26B3E9DC-DE66-4F2A-9675-06A8525BB456}" srcOrd="6" destOrd="0" parTransId="{F8D9DDF4-FC56-47FC-AEAB-F8C6E28EDCE2}" sibTransId="{09F4A4D5-C879-4C75-95EF-28210CC7C5FB}"/>
    <dgm:cxn modelId="{B0FFA7C1-4092-4E65-9B2D-07D0E75B37EE}" srcId="{4433F753-0E87-4912-B56B-91A35399B18D}" destId="{C2EA40D1-631D-4255-A44A-936F85D67B6F}" srcOrd="9" destOrd="0" parTransId="{89C01376-4CEC-42FE-AEF0-1E5C969D66A7}" sibTransId="{22DF22C3-9817-49B6-9642-F80DFAF87CD6}"/>
    <dgm:cxn modelId="{CF3BD931-5003-4FBF-94AD-A706CA2F955B}" type="presOf" srcId="{7DD9B75B-FAEA-4A13-AEA7-779507A0D69B}" destId="{527A6DB8-CC8D-4117-B64B-FE1C51498EDF}" srcOrd="0" destOrd="0" presId="urn:microsoft.com/office/officeart/2005/8/layout/vList5"/>
    <dgm:cxn modelId="{9B946BB2-5746-41D6-8A4C-7242B8DF53C5}" type="presOf" srcId="{033CD385-B267-4099-96DF-3EC0A415BFB1}" destId="{FD6F9629-897A-48F4-8FD2-83C4978D2646}" srcOrd="0" destOrd="0" presId="urn:microsoft.com/office/officeart/2005/8/layout/vList5"/>
    <dgm:cxn modelId="{FD474AC3-72D6-46AE-8DB1-CF52B9103EED}" srcId="{4433F753-0E87-4912-B56B-91A35399B18D}" destId="{623B77A5-6552-4C58-8682-7B833620E8DB}" srcOrd="4" destOrd="0" parTransId="{47355F99-9BB6-4AA9-9023-59FA76DFBD14}" sibTransId="{910AE067-E411-439D-9BD6-F95064C1CE0D}"/>
    <dgm:cxn modelId="{41926623-170A-4344-898F-C87B7B17AD36}" srcId="{7A8C8B25-2F5D-41AE-AC66-93D00C62EF11}" destId="{F702FD2F-61DF-4F27-AB35-4A49C1C270BE}" srcOrd="0" destOrd="0" parTransId="{1BCD56A1-EC23-4869-AB5E-03A27BFF189E}" sibTransId="{4722041A-BDA9-42DE-903B-1D758C552A06}"/>
    <dgm:cxn modelId="{D4134A29-D2C0-4831-94F6-14053A943D2E}" srcId="{4433F753-0E87-4912-B56B-91A35399B18D}" destId="{7DD9B75B-FAEA-4A13-AEA7-779507A0D69B}" srcOrd="10" destOrd="0" parTransId="{66688FAC-5EA0-4780-A4F7-5041D334411C}" sibTransId="{8C502A28-445E-4D44-B304-00FCE3107B5A}"/>
    <dgm:cxn modelId="{8A605383-3FE5-4AFD-A12B-B2D4138E2E5D}" type="presOf" srcId="{26B3E9DC-DE66-4F2A-9675-06A8525BB456}" destId="{2EFD78ED-8B48-44A3-82AE-8CD5F2725C55}" srcOrd="0" destOrd="0" presId="urn:microsoft.com/office/officeart/2005/8/layout/vList5"/>
    <dgm:cxn modelId="{68786748-7EE2-4D50-907C-789D5946E8DA}" type="presOf" srcId="{F702FD2F-61DF-4F27-AB35-4A49C1C270BE}" destId="{EE37B38A-A232-4B66-B9BB-9944B4245AA9}" srcOrd="0" destOrd="0" presId="urn:microsoft.com/office/officeart/2005/8/layout/vList5"/>
    <dgm:cxn modelId="{402ADDEA-C233-4050-AE89-E8D21CB11296}" type="presOf" srcId="{57B99788-9046-4C03-8B73-4794AD2B2E9C}" destId="{E3EA244C-3853-4E41-BC25-0BC2499716DD}" srcOrd="0" destOrd="0" presId="urn:microsoft.com/office/officeart/2005/8/layout/vList5"/>
    <dgm:cxn modelId="{03DB88F7-253D-49A3-88A1-77E8818333A8}" type="presOf" srcId="{2316C719-7D73-4FE1-8171-11CEE53CC10B}" destId="{6DBF155B-3DB4-468B-8166-93BD98A92496}" srcOrd="0" destOrd="0" presId="urn:microsoft.com/office/officeart/2005/8/layout/vList5"/>
    <dgm:cxn modelId="{D1A5B6D2-479C-44A0-9B7C-3BEC25CC827D}" srcId="{4433F753-0E87-4912-B56B-91A35399B18D}" destId="{5BB7AB63-AC45-493E-B9EA-B0AB6255C2C2}" srcOrd="2" destOrd="0" parTransId="{BED2F17C-F288-4568-8B94-21BED9969414}" sibTransId="{64311211-F32C-4554-A12C-6C9446F0DE27}"/>
    <dgm:cxn modelId="{43ED8F6E-8E45-40BC-A755-A2E82CD20273}" srcId="{4433F753-0E87-4912-B56B-91A35399B18D}" destId="{E0A68AE0-CF42-4B3C-887D-8501F291FB56}" srcOrd="1" destOrd="0" parTransId="{C3405CCA-FF82-4267-B88A-9D9CD02F305E}" sibTransId="{A6231FD4-7A77-4288-BFFD-C720E30721F8}"/>
    <dgm:cxn modelId="{C383781F-D894-4C27-B23F-98C675CDF32C}" srcId="{26B3E9DC-DE66-4F2A-9675-06A8525BB456}" destId="{686C2973-3DA2-4657-8175-5474128DFAF0}" srcOrd="0" destOrd="0" parTransId="{435CF184-9DC5-45D0-9445-6C1239C84E14}" sibTransId="{337FD82D-36C4-4713-9DFC-D291F1624565}"/>
    <dgm:cxn modelId="{8E219399-0D16-4FE0-9F53-F324B9B2D442}" type="presOf" srcId="{D00EA431-5EA0-4A9B-8D7F-C1F5ABD0871E}" destId="{ECF84230-D726-4FDA-87E0-B0CFDD9D2804}" srcOrd="0" destOrd="0" presId="urn:microsoft.com/office/officeart/2005/8/layout/vList5"/>
    <dgm:cxn modelId="{BDF3FE23-2A1F-4F84-9736-0A307F78FF95}" srcId="{57B99788-9046-4C03-8B73-4794AD2B2E9C}" destId="{62AEA772-7D34-44F6-ADEC-5C9F79E9217B}" srcOrd="0" destOrd="0" parTransId="{8BD10442-BBB5-46D4-AA9D-0A91B2B82FDB}" sibTransId="{8F31B176-3ECB-4C1F-B875-D6F242F8F6F4}"/>
    <dgm:cxn modelId="{A75AB8F3-FF2E-4313-B34C-50BF7C5F6821}" type="presOf" srcId="{44BEC48A-98E9-48C9-81D0-94C46027A794}" destId="{166BB038-8BE3-4B2F-8FE3-C66501D334FC}" srcOrd="0" destOrd="0" presId="urn:microsoft.com/office/officeart/2005/8/layout/vList5"/>
    <dgm:cxn modelId="{D5BAF9F7-961B-4D41-BBDC-0E00229318AE}" srcId="{4433F753-0E87-4912-B56B-91A35399B18D}" destId="{57B99788-9046-4C03-8B73-4794AD2B2E9C}" srcOrd="5" destOrd="0" parTransId="{D048256A-E5DD-497E-90EF-7A2307BFD194}" sibTransId="{9834E83A-B906-47A5-9506-23E448E2271F}"/>
    <dgm:cxn modelId="{F94CC44C-E505-4098-8EB6-B2D76415835C}" srcId="{5BB7AB63-AC45-493E-B9EA-B0AB6255C2C2}" destId="{44BEC48A-98E9-48C9-81D0-94C46027A794}" srcOrd="0" destOrd="0" parTransId="{2050BD4A-DE6C-4A59-8128-E6BF73CACD38}" sibTransId="{FF884253-79CB-4E42-82F0-E21AEA72A1F0}"/>
    <dgm:cxn modelId="{6230A621-D3C0-4368-87FE-AD85A7E7EDA8}" type="presOf" srcId="{1F91BC66-45FD-4919-875F-AB5049ABDC15}" destId="{ECB7FF38-5158-4885-B518-511D0F829CDA}" srcOrd="0" destOrd="0" presId="urn:microsoft.com/office/officeart/2005/8/layout/vList5"/>
    <dgm:cxn modelId="{33B298C2-0841-4727-9A2E-0DB9119DC253}" srcId="{C2EA40D1-631D-4255-A44A-936F85D67B6F}" destId="{EFF23425-5A6B-4E4F-9E42-7B960FD2C7E4}" srcOrd="0" destOrd="0" parTransId="{DFC4A8EC-3075-451E-BB06-EB5F1FE66262}" sibTransId="{023CF4AC-9DD8-4A48-978D-BD0C030B047A}"/>
    <dgm:cxn modelId="{96F2A631-CC4C-4B03-9402-2495BED240DD}" type="presOf" srcId="{956A5F68-D29A-44EB-9321-4D19B929C948}" destId="{CF454B15-5CC5-4910-A3C4-9B5F573E73EA}" srcOrd="0" destOrd="0" presId="urn:microsoft.com/office/officeart/2005/8/layout/vList5"/>
    <dgm:cxn modelId="{DB3BED9F-3746-4853-A6B3-7C623CF2290B}" type="presOf" srcId="{7A8C8B25-2F5D-41AE-AC66-93D00C62EF11}" destId="{4076F337-B5D2-411F-9A6A-BC84B9A933F0}" srcOrd="0" destOrd="0" presId="urn:microsoft.com/office/officeart/2005/8/layout/vList5"/>
    <dgm:cxn modelId="{C887BF13-29C3-4BE2-A8B9-6381BF3C52CF}" srcId="{D6B733E7-028D-4785-AFE8-BAA4C57C09B3}" destId="{033CD385-B267-4099-96DF-3EC0A415BFB1}" srcOrd="0" destOrd="0" parTransId="{EC0403AC-CB47-486D-AD69-4D9B05649D0C}" sibTransId="{E8ABFAF5-796D-44B8-87DA-643F3D7A7C9F}"/>
    <dgm:cxn modelId="{D030B6E0-B47F-4CA2-9A59-93D1F195F730}" srcId="{4433F753-0E87-4912-B56B-91A35399B18D}" destId="{2316C719-7D73-4FE1-8171-11CEE53CC10B}" srcOrd="0" destOrd="0" parTransId="{93E9335E-EACC-42A7-8E49-90B19583AAAD}" sibTransId="{59649BFC-41D6-4A87-A346-2BADB8EB7A66}"/>
    <dgm:cxn modelId="{7304756D-943C-4BE9-8481-52DDA7E6D29A}" srcId="{E0A68AE0-CF42-4B3C-887D-8501F291FB56}" destId="{1F91BC66-45FD-4919-875F-AB5049ABDC15}" srcOrd="0" destOrd="0" parTransId="{CA6A72D0-07CE-49EA-82F4-27B878EA63E3}" sibTransId="{3832CFCC-8F63-4F7C-9CA2-B30D5FFDF804}"/>
    <dgm:cxn modelId="{08AF187A-BA3E-4AAB-B7CF-E794D76DDF1D}" srcId="{4433F753-0E87-4912-B56B-91A35399B18D}" destId="{2A73D675-600A-4643-9D98-A6AB00722249}" srcOrd="11" destOrd="0" parTransId="{5AAB271C-B104-4B54-BA0C-2752888A830A}" sibTransId="{0DE3D903-C7DB-4E5A-ACBE-28F7F90C107F}"/>
    <dgm:cxn modelId="{BD057546-BAA7-4A3F-89EA-03514DB5366D}" type="presOf" srcId="{686C2973-3DA2-4657-8175-5474128DFAF0}" destId="{5668FB45-81EF-4AF9-992F-1EDC15A034AE}" srcOrd="0" destOrd="0" presId="urn:microsoft.com/office/officeart/2005/8/layout/vList5"/>
    <dgm:cxn modelId="{B7F87FFA-FF58-4784-8EC0-613C2A47E2F0}" srcId="{623B77A5-6552-4C58-8682-7B833620E8DB}" destId="{149CBCB2-C0B8-456C-A106-D70E13763336}" srcOrd="0" destOrd="0" parTransId="{0FB74CE1-4F09-4183-AB8B-E58898A0D4F3}" sibTransId="{1D5FD501-9E46-4BE0-A2A9-8777A87246BF}"/>
    <dgm:cxn modelId="{DEC262A1-C234-422D-BD33-B1536D040D0C}" srcId="{4433F753-0E87-4912-B56B-91A35399B18D}" destId="{7A8C8B25-2F5D-41AE-AC66-93D00C62EF11}" srcOrd="3" destOrd="0" parTransId="{6DC4C0EC-2653-49F8-9594-7E791F871854}" sibTransId="{DB0E688F-A900-48C9-84F9-1EEA8EC1E883}"/>
    <dgm:cxn modelId="{21E87CF8-8FCD-494A-9163-AAAE0CFE8E20}" srcId="{4433F753-0E87-4912-B56B-91A35399B18D}" destId="{D00EA431-5EA0-4A9B-8D7F-C1F5ABD0871E}" srcOrd="8" destOrd="0" parTransId="{7FAACA6F-DA57-4704-8850-7E9BB064EC79}" sibTransId="{7F93C2A7-09BD-40BD-B78F-040E0E87E7D0}"/>
    <dgm:cxn modelId="{32D80044-1499-4B98-B74D-796898AE98B3}" type="presOf" srcId="{EFF23425-5A6B-4E4F-9E42-7B960FD2C7E4}" destId="{F836AA0D-C047-4039-96C4-B69E990CBFE0}" srcOrd="0" destOrd="0" presId="urn:microsoft.com/office/officeart/2005/8/layout/vList5"/>
    <dgm:cxn modelId="{B0422E67-A18D-4309-8B04-B7198442329F}" srcId="{7DD9B75B-FAEA-4A13-AEA7-779507A0D69B}" destId="{956A5F68-D29A-44EB-9321-4D19B929C948}" srcOrd="0" destOrd="0" parTransId="{B3544000-1D36-42A1-A946-9A269ECBEEA2}" sibTransId="{F6FC4A1F-1151-49EB-A253-959D1AC0625C}"/>
    <dgm:cxn modelId="{741AE271-80C3-43E2-9FE8-0F6894CE6EB7}" srcId="{2A73D675-600A-4643-9D98-A6AB00722249}" destId="{407CEDE2-822F-474B-9398-0C0D02F8AEFC}" srcOrd="0" destOrd="0" parTransId="{502FC0BC-CE84-4CE3-98E8-66CB8A331977}" sibTransId="{274E6F98-FBC0-4B11-983B-FBE029F771D8}"/>
    <dgm:cxn modelId="{3625AA30-9E9A-4C56-AED7-D5E563C612F4}" type="presOf" srcId="{62AEA772-7D34-44F6-ADEC-5C9F79E9217B}" destId="{DAC18469-7E86-462E-A995-1F8C782528B0}" srcOrd="0" destOrd="0" presId="urn:microsoft.com/office/officeart/2005/8/layout/vList5"/>
    <dgm:cxn modelId="{24E44EA9-C8EC-4808-B4E0-409713ADB6CE}" type="presOf" srcId="{623B77A5-6552-4C58-8682-7B833620E8DB}" destId="{2F71AE09-5FEC-4634-9A3D-3586FE659A59}" srcOrd="0" destOrd="0" presId="urn:microsoft.com/office/officeart/2005/8/layout/vList5"/>
    <dgm:cxn modelId="{1C3755E5-CA80-4DA9-8070-EE9A18A2A5AC}" srcId="{D00EA431-5EA0-4A9B-8D7F-C1F5ABD0871E}" destId="{A563DE17-A4BF-402B-A9AC-102258F55852}" srcOrd="0" destOrd="0" parTransId="{20A71A6C-BD2B-46CF-AA91-E814F3AAC8FC}" sibTransId="{6B14C4F2-42EF-45EC-AC1E-EB4C4B6DB112}"/>
    <dgm:cxn modelId="{9572C2BD-8EAF-4546-9345-A706BA57E69B}" type="presOf" srcId="{2A73D675-600A-4643-9D98-A6AB00722249}" destId="{491281F3-ADC6-4D0B-A518-AE608E34DFB6}" srcOrd="0" destOrd="0" presId="urn:microsoft.com/office/officeart/2005/8/layout/vList5"/>
    <dgm:cxn modelId="{778E0C81-47D9-4B2B-BEE0-CEB7E4991ADE}" srcId="{2316C719-7D73-4FE1-8171-11CEE53CC10B}" destId="{28B7A76B-1A2A-4D25-ACE2-45C424CE2F9C}" srcOrd="0" destOrd="0" parTransId="{BDACA8FB-421E-4C17-906A-8C6D696817D4}" sibTransId="{EBBC8349-DD9C-4EEF-899D-9AD5EE04BAE3}"/>
    <dgm:cxn modelId="{7DCD5A04-A52F-4105-A122-3A941C92CE66}" type="presOf" srcId="{C2EA40D1-631D-4255-A44A-936F85D67B6F}" destId="{759AC901-B5C6-4C65-B2DE-56614DEC4387}" srcOrd="0" destOrd="0" presId="urn:microsoft.com/office/officeart/2005/8/layout/vList5"/>
    <dgm:cxn modelId="{CB42E1EE-27A9-4CE0-A605-431BF7BE66CF}" type="presOf" srcId="{28B7A76B-1A2A-4D25-ACE2-45C424CE2F9C}" destId="{94201C64-1883-46E8-8132-837A31B56A89}" srcOrd="0" destOrd="0" presId="urn:microsoft.com/office/officeart/2005/8/layout/vList5"/>
    <dgm:cxn modelId="{53A139BB-6E5A-4EED-A1F0-475F97166219}" type="presOf" srcId="{5BB7AB63-AC45-493E-B9EA-B0AB6255C2C2}" destId="{B3DDA239-C377-4CDD-8A26-2823DB3A2D64}" srcOrd="0" destOrd="0" presId="urn:microsoft.com/office/officeart/2005/8/layout/vList5"/>
    <dgm:cxn modelId="{EB85AA0B-8F48-4B5A-9619-1203C60E7E03}" type="presOf" srcId="{D6B733E7-028D-4785-AFE8-BAA4C57C09B3}" destId="{348B7866-D543-4494-A5A9-BB36B7F4CF80}" srcOrd="0" destOrd="0" presId="urn:microsoft.com/office/officeart/2005/8/layout/vList5"/>
    <dgm:cxn modelId="{BBF4424B-B310-4B5D-A79E-E39D48775B54}" type="presOf" srcId="{4433F753-0E87-4912-B56B-91A35399B18D}" destId="{2358CC19-7BCD-4555-B51B-8C9EDCB09362}" srcOrd="0" destOrd="0" presId="urn:microsoft.com/office/officeart/2005/8/layout/vList5"/>
    <dgm:cxn modelId="{57F86A73-8D2B-42D8-8140-D162EF0A74FC}" type="presOf" srcId="{E0A68AE0-CF42-4B3C-887D-8501F291FB56}" destId="{C5A072F3-2259-4AC6-B1AB-4EC81DE1E5EC}" srcOrd="0" destOrd="0" presId="urn:microsoft.com/office/officeart/2005/8/layout/vList5"/>
    <dgm:cxn modelId="{611941FB-7C00-4C83-AABC-A2584A9A4B15}" type="presParOf" srcId="{2358CC19-7BCD-4555-B51B-8C9EDCB09362}" destId="{32AB4E8A-911F-4433-9E04-DBB9D64DB917}" srcOrd="0" destOrd="0" presId="urn:microsoft.com/office/officeart/2005/8/layout/vList5"/>
    <dgm:cxn modelId="{932D28A9-52ED-4176-9AC0-9CE826932EF0}" type="presParOf" srcId="{32AB4E8A-911F-4433-9E04-DBB9D64DB917}" destId="{6DBF155B-3DB4-468B-8166-93BD98A92496}" srcOrd="0" destOrd="0" presId="urn:microsoft.com/office/officeart/2005/8/layout/vList5"/>
    <dgm:cxn modelId="{A5AFDC45-2D0B-42C2-ADBF-404D2A8CA000}" type="presParOf" srcId="{32AB4E8A-911F-4433-9E04-DBB9D64DB917}" destId="{94201C64-1883-46E8-8132-837A31B56A89}" srcOrd="1" destOrd="0" presId="urn:microsoft.com/office/officeart/2005/8/layout/vList5"/>
    <dgm:cxn modelId="{541262A5-78DC-4847-B0CD-AEDDD671BF6E}" type="presParOf" srcId="{2358CC19-7BCD-4555-B51B-8C9EDCB09362}" destId="{E1E6A204-4B27-4D59-B95F-33CDB4CF7824}" srcOrd="1" destOrd="0" presId="urn:microsoft.com/office/officeart/2005/8/layout/vList5"/>
    <dgm:cxn modelId="{246B60B6-FBA1-4FD7-877E-B268E472DC3A}" type="presParOf" srcId="{2358CC19-7BCD-4555-B51B-8C9EDCB09362}" destId="{CEF0E39E-74D9-45AA-BFD3-DB738FE0CB3E}" srcOrd="2" destOrd="0" presId="urn:microsoft.com/office/officeart/2005/8/layout/vList5"/>
    <dgm:cxn modelId="{2D8826B3-86EF-459A-A166-D52642836F36}" type="presParOf" srcId="{CEF0E39E-74D9-45AA-BFD3-DB738FE0CB3E}" destId="{C5A072F3-2259-4AC6-B1AB-4EC81DE1E5EC}" srcOrd="0" destOrd="0" presId="urn:microsoft.com/office/officeart/2005/8/layout/vList5"/>
    <dgm:cxn modelId="{7E8D9CC4-4966-444B-8E6D-8088D51CE6B5}" type="presParOf" srcId="{CEF0E39E-74D9-45AA-BFD3-DB738FE0CB3E}" destId="{ECB7FF38-5158-4885-B518-511D0F829CDA}" srcOrd="1" destOrd="0" presId="urn:microsoft.com/office/officeart/2005/8/layout/vList5"/>
    <dgm:cxn modelId="{679AC21C-25C4-405F-ACC9-61155778A219}" type="presParOf" srcId="{2358CC19-7BCD-4555-B51B-8C9EDCB09362}" destId="{566F2519-45CA-472E-A245-8BECD5482B0B}" srcOrd="3" destOrd="0" presId="urn:microsoft.com/office/officeart/2005/8/layout/vList5"/>
    <dgm:cxn modelId="{DCBD8F56-7468-40EA-88AF-C7E8434C947E}" type="presParOf" srcId="{2358CC19-7BCD-4555-B51B-8C9EDCB09362}" destId="{1C7F647B-B269-47C8-AAA8-05716E004566}" srcOrd="4" destOrd="0" presId="urn:microsoft.com/office/officeart/2005/8/layout/vList5"/>
    <dgm:cxn modelId="{8341990A-BE3A-416D-BF0A-80587ACFFB35}" type="presParOf" srcId="{1C7F647B-B269-47C8-AAA8-05716E004566}" destId="{B3DDA239-C377-4CDD-8A26-2823DB3A2D64}" srcOrd="0" destOrd="0" presId="urn:microsoft.com/office/officeart/2005/8/layout/vList5"/>
    <dgm:cxn modelId="{753F81DD-1375-4AC1-9F52-9227A84EE062}" type="presParOf" srcId="{1C7F647B-B269-47C8-AAA8-05716E004566}" destId="{166BB038-8BE3-4B2F-8FE3-C66501D334FC}" srcOrd="1" destOrd="0" presId="urn:microsoft.com/office/officeart/2005/8/layout/vList5"/>
    <dgm:cxn modelId="{54AB3F3A-42FC-4CFA-9668-143FDC2DB7FB}" type="presParOf" srcId="{2358CC19-7BCD-4555-B51B-8C9EDCB09362}" destId="{DBE4CC5D-1E80-4FEF-B842-4EBBDC4ABF1B}" srcOrd="5" destOrd="0" presId="urn:microsoft.com/office/officeart/2005/8/layout/vList5"/>
    <dgm:cxn modelId="{4639B052-0F67-41E9-8A78-409D88F89C64}" type="presParOf" srcId="{2358CC19-7BCD-4555-B51B-8C9EDCB09362}" destId="{0BA28A9C-68C0-4AB5-82B3-071A3CF331BF}" srcOrd="6" destOrd="0" presId="urn:microsoft.com/office/officeart/2005/8/layout/vList5"/>
    <dgm:cxn modelId="{D2B645DD-1D51-4A86-B812-A682AF42D945}" type="presParOf" srcId="{0BA28A9C-68C0-4AB5-82B3-071A3CF331BF}" destId="{4076F337-B5D2-411F-9A6A-BC84B9A933F0}" srcOrd="0" destOrd="0" presId="urn:microsoft.com/office/officeart/2005/8/layout/vList5"/>
    <dgm:cxn modelId="{4A6C7DEA-18FE-4F6E-876A-E203CD0A3703}" type="presParOf" srcId="{0BA28A9C-68C0-4AB5-82B3-071A3CF331BF}" destId="{EE37B38A-A232-4B66-B9BB-9944B4245AA9}" srcOrd="1" destOrd="0" presId="urn:microsoft.com/office/officeart/2005/8/layout/vList5"/>
    <dgm:cxn modelId="{CA8A5B1C-C5D3-43BA-8852-EE640434AEF9}" type="presParOf" srcId="{2358CC19-7BCD-4555-B51B-8C9EDCB09362}" destId="{1F11220F-0B7E-4260-BBBC-74FD33081E26}" srcOrd="7" destOrd="0" presId="urn:microsoft.com/office/officeart/2005/8/layout/vList5"/>
    <dgm:cxn modelId="{3812A872-C60D-4F90-B7FA-C79A6C2A231D}" type="presParOf" srcId="{2358CC19-7BCD-4555-B51B-8C9EDCB09362}" destId="{75FC091B-D35C-4CE4-A41D-01134F00A9A2}" srcOrd="8" destOrd="0" presId="urn:microsoft.com/office/officeart/2005/8/layout/vList5"/>
    <dgm:cxn modelId="{42E4B12B-B581-422D-B6FD-C4B99C0491D3}" type="presParOf" srcId="{75FC091B-D35C-4CE4-A41D-01134F00A9A2}" destId="{2F71AE09-5FEC-4634-9A3D-3586FE659A59}" srcOrd="0" destOrd="0" presId="urn:microsoft.com/office/officeart/2005/8/layout/vList5"/>
    <dgm:cxn modelId="{736DDD25-448E-40C1-9BD5-96BA548F7B9F}" type="presParOf" srcId="{75FC091B-D35C-4CE4-A41D-01134F00A9A2}" destId="{C603EED1-5EA4-43DB-AFE2-66008095961D}" srcOrd="1" destOrd="0" presId="urn:microsoft.com/office/officeart/2005/8/layout/vList5"/>
    <dgm:cxn modelId="{A243E99E-BA6C-45D2-AF15-F01EC371B6E8}" type="presParOf" srcId="{2358CC19-7BCD-4555-B51B-8C9EDCB09362}" destId="{1ED3917F-7471-4512-9F23-28F8271D6EF5}" srcOrd="9" destOrd="0" presId="urn:microsoft.com/office/officeart/2005/8/layout/vList5"/>
    <dgm:cxn modelId="{F7AEC2C3-6E1F-4806-A62B-71E16FA30C16}" type="presParOf" srcId="{2358CC19-7BCD-4555-B51B-8C9EDCB09362}" destId="{91C5237E-8EEE-4132-9350-DACC3C91DCAC}" srcOrd="10" destOrd="0" presId="urn:microsoft.com/office/officeart/2005/8/layout/vList5"/>
    <dgm:cxn modelId="{E803EC54-B3D8-4BFE-A150-F333F4473114}" type="presParOf" srcId="{91C5237E-8EEE-4132-9350-DACC3C91DCAC}" destId="{E3EA244C-3853-4E41-BC25-0BC2499716DD}" srcOrd="0" destOrd="0" presId="urn:microsoft.com/office/officeart/2005/8/layout/vList5"/>
    <dgm:cxn modelId="{7233BA31-D6BB-41B5-981A-3A5180377683}" type="presParOf" srcId="{91C5237E-8EEE-4132-9350-DACC3C91DCAC}" destId="{DAC18469-7E86-462E-A995-1F8C782528B0}" srcOrd="1" destOrd="0" presId="urn:microsoft.com/office/officeart/2005/8/layout/vList5"/>
    <dgm:cxn modelId="{08A9E3D4-2CCD-4E9B-B637-22AC5A0F2A54}" type="presParOf" srcId="{2358CC19-7BCD-4555-B51B-8C9EDCB09362}" destId="{649CD228-E279-435C-8D4A-20FCEF249FEA}" srcOrd="11" destOrd="0" presId="urn:microsoft.com/office/officeart/2005/8/layout/vList5"/>
    <dgm:cxn modelId="{0A6B1E22-4B44-4A14-92D6-B408696F29EC}" type="presParOf" srcId="{2358CC19-7BCD-4555-B51B-8C9EDCB09362}" destId="{E3E0FD2E-DD9A-433C-AAF1-71F4301475EE}" srcOrd="12" destOrd="0" presId="urn:microsoft.com/office/officeart/2005/8/layout/vList5"/>
    <dgm:cxn modelId="{63AF3E15-E8C6-4134-B7EA-4C2A2CE44CE6}" type="presParOf" srcId="{E3E0FD2E-DD9A-433C-AAF1-71F4301475EE}" destId="{2EFD78ED-8B48-44A3-82AE-8CD5F2725C55}" srcOrd="0" destOrd="0" presId="urn:microsoft.com/office/officeart/2005/8/layout/vList5"/>
    <dgm:cxn modelId="{5ABF88A8-70E4-44F1-A08B-DB2BBDA0FBB7}" type="presParOf" srcId="{E3E0FD2E-DD9A-433C-AAF1-71F4301475EE}" destId="{5668FB45-81EF-4AF9-992F-1EDC15A034AE}" srcOrd="1" destOrd="0" presId="urn:microsoft.com/office/officeart/2005/8/layout/vList5"/>
    <dgm:cxn modelId="{1AC35492-FD9C-4CAE-A12B-A28375EC148E}" type="presParOf" srcId="{2358CC19-7BCD-4555-B51B-8C9EDCB09362}" destId="{871813B5-23E7-41D5-9199-0254A76BF456}" srcOrd="13" destOrd="0" presId="urn:microsoft.com/office/officeart/2005/8/layout/vList5"/>
    <dgm:cxn modelId="{A46E7AAF-1323-47BC-A59E-1FF372947A2B}" type="presParOf" srcId="{2358CC19-7BCD-4555-B51B-8C9EDCB09362}" destId="{E438EF38-34CA-4F3D-81C1-DC08809A01BE}" srcOrd="14" destOrd="0" presId="urn:microsoft.com/office/officeart/2005/8/layout/vList5"/>
    <dgm:cxn modelId="{025E2D03-90CC-41DE-825F-54EA0132AA3A}" type="presParOf" srcId="{E438EF38-34CA-4F3D-81C1-DC08809A01BE}" destId="{348B7866-D543-4494-A5A9-BB36B7F4CF80}" srcOrd="0" destOrd="0" presId="urn:microsoft.com/office/officeart/2005/8/layout/vList5"/>
    <dgm:cxn modelId="{EFCFB0F4-2AF5-412B-9309-F738615D98A6}" type="presParOf" srcId="{E438EF38-34CA-4F3D-81C1-DC08809A01BE}" destId="{FD6F9629-897A-48F4-8FD2-83C4978D2646}" srcOrd="1" destOrd="0" presId="urn:microsoft.com/office/officeart/2005/8/layout/vList5"/>
    <dgm:cxn modelId="{FD841FD9-95CF-4A2C-9D81-531CBB3001E4}" type="presParOf" srcId="{2358CC19-7BCD-4555-B51B-8C9EDCB09362}" destId="{DC9B5D4B-D27D-4C06-BC65-D5745212A286}" srcOrd="15" destOrd="0" presId="urn:microsoft.com/office/officeart/2005/8/layout/vList5"/>
    <dgm:cxn modelId="{1A7433B7-225A-4132-B455-ACBBDE024227}" type="presParOf" srcId="{2358CC19-7BCD-4555-B51B-8C9EDCB09362}" destId="{755EC65C-17C5-47DD-A6BA-3C689FEF8B73}" srcOrd="16" destOrd="0" presId="urn:microsoft.com/office/officeart/2005/8/layout/vList5"/>
    <dgm:cxn modelId="{2A12F901-B490-45CA-AA3F-FCED96D38BE9}" type="presParOf" srcId="{755EC65C-17C5-47DD-A6BA-3C689FEF8B73}" destId="{ECF84230-D726-4FDA-87E0-B0CFDD9D2804}" srcOrd="0" destOrd="0" presId="urn:microsoft.com/office/officeart/2005/8/layout/vList5"/>
    <dgm:cxn modelId="{AFD57883-67AB-484C-9AB7-B4577547B709}" type="presParOf" srcId="{755EC65C-17C5-47DD-A6BA-3C689FEF8B73}" destId="{D345C441-DFDC-4761-A367-3E4BCDCA872D}" srcOrd="1" destOrd="0" presId="urn:microsoft.com/office/officeart/2005/8/layout/vList5"/>
    <dgm:cxn modelId="{B01FF26F-5EBA-4EF2-8CD9-D96307EFD543}" type="presParOf" srcId="{2358CC19-7BCD-4555-B51B-8C9EDCB09362}" destId="{6E08305A-9F74-452F-8F4E-4150DC974190}" srcOrd="17" destOrd="0" presId="urn:microsoft.com/office/officeart/2005/8/layout/vList5"/>
    <dgm:cxn modelId="{2A452689-8383-4610-9DC2-F9E66D4A7270}" type="presParOf" srcId="{2358CC19-7BCD-4555-B51B-8C9EDCB09362}" destId="{AEC0700F-AC68-45CC-88D4-FDC2AB7187EA}" srcOrd="18" destOrd="0" presId="urn:microsoft.com/office/officeart/2005/8/layout/vList5"/>
    <dgm:cxn modelId="{73E3DF80-1B39-4972-8D0A-6AFBF0788748}" type="presParOf" srcId="{AEC0700F-AC68-45CC-88D4-FDC2AB7187EA}" destId="{759AC901-B5C6-4C65-B2DE-56614DEC4387}" srcOrd="0" destOrd="0" presId="urn:microsoft.com/office/officeart/2005/8/layout/vList5"/>
    <dgm:cxn modelId="{CEA8AF94-BD9F-43EC-9481-B421CD1566FE}" type="presParOf" srcId="{AEC0700F-AC68-45CC-88D4-FDC2AB7187EA}" destId="{F836AA0D-C047-4039-96C4-B69E990CBFE0}" srcOrd="1" destOrd="0" presId="urn:microsoft.com/office/officeart/2005/8/layout/vList5"/>
    <dgm:cxn modelId="{46844235-FE5A-4B8D-8FB9-510227261DEB}" type="presParOf" srcId="{2358CC19-7BCD-4555-B51B-8C9EDCB09362}" destId="{41760BC8-AAF6-4CFC-B21C-C9FCE9AC0BF9}" srcOrd="19" destOrd="0" presId="urn:microsoft.com/office/officeart/2005/8/layout/vList5"/>
    <dgm:cxn modelId="{47256E74-860B-4617-8A69-61D681E5F3DF}" type="presParOf" srcId="{2358CC19-7BCD-4555-B51B-8C9EDCB09362}" destId="{E1CA8204-C589-489D-BA2A-FD2B83B49641}" srcOrd="20" destOrd="0" presId="urn:microsoft.com/office/officeart/2005/8/layout/vList5"/>
    <dgm:cxn modelId="{DABE0D8E-B485-4953-AB8D-F7CD995370F7}" type="presParOf" srcId="{E1CA8204-C589-489D-BA2A-FD2B83B49641}" destId="{527A6DB8-CC8D-4117-B64B-FE1C51498EDF}" srcOrd="0" destOrd="0" presId="urn:microsoft.com/office/officeart/2005/8/layout/vList5"/>
    <dgm:cxn modelId="{B2CCC0FB-C033-4CD7-AF52-00141209B218}" type="presParOf" srcId="{E1CA8204-C589-489D-BA2A-FD2B83B49641}" destId="{CF454B15-5CC5-4910-A3C4-9B5F573E73EA}" srcOrd="1" destOrd="0" presId="urn:microsoft.com/office/officeart/2005/8/layout/vList5"/>
    <dgm:cxn modelId="{200D7BF2-1BF1-467F-B9DE-2F30FCB264AA}" type="presParOf" srcId="{2358CC19-7BCD-4555-B51B-8C9EDCB09362}" destId="{9E76DF7E-19C4-459F-8651-309671F98C54}" srcOrd="21" destOrd="0" presId="urn:microsoft.com/office/officeart/2005/8/layout/vList5"/>
    <dgm:cxn modelId="{EE40FD5C-8445-47BC-B998-74E28DC57D7A}" type="presParOf" srcId="{2358CC19-7BCD-4555-B51B-8C9EDCB09362}" destId="{F3DB54BB-C9F5-4DDC-9C74-5CA0747A5AC7}" srcOrd="22" destOrd="0" presId="urn:microsoft.com/office/officeart/2005/8/layout/vList5"/>
    <dgm:cxn modelId="{7BF8562C-BCDB-4F93-9FC2-98C499A7D8B3}" type="presParOf" srcId="{F3DB54BB-C9F5-4DDC-9C74-5CA0747A5AC7}" destId="{491281F3-ADC6-4D0B-A518-AE608E34DFB6}" srcOrd="0" destOrd="0" presId="urn:microsoft.com/office/officeart/2005/8/layout/vList5"/>
    <dgm:cxn modelId="{B7104F76-2FB8-43D4-B3C6-DC820F1EFB00}" type="presParOf" srcId="{F3DB54BB-C9F5-4DDC-9C74-5CA0747A5AC7}" destId="{522CCA70-A8BE-4659-8C00-496B771079DC}"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01C64-1883-46E8-8132-837A31B56A89}">
      <dsp:nvSpPr>
        <dsp:cNvPr id="0" name=""/>
        <dsp:cNvSpPr/>
      </dsp:nvSpPr>
      <dsp:spPr>
        <a:xfrm rot="5400000">
          <a:off x="3124400" y="-1654909"/>
          <a:ext cx="268533" cy="3578352"/>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fr-FR" sz="900" b="1" kern="1200">
              <a:latin typeface="Calibri"/>
              <a:ea typeface="+mn-ea"/>
              <a:cs typeface="+mn-cs"/>
            </a:rPr>
            <a:t>INFORMATIONS</a:t>
          </a:r>
        </a:p>
      </dsp:txBody>
      <dsp:txXfrm rot="-5400000">
        <a:off x="1469491" y="0"/>
        <a:ext cx="3578352" cy="268533"/>
      </dsp:txXfrm>
    </dsp:sp>
    <dsp:sp modelId="{6DBF155B-3DB4-468B-8166-93BD98A92496}">
      <dsp:nvSpPr>
        <dsp:cNvPr id="0" name=""/>
        <dsp:cNvSpPr/>
      </dsp:nvSpPr>
      <dsp:spPr>
        <a:xfrm>
          <a:off x="536910" y="16106"/>
          <a:ext cx="910661" cy="236431"/>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fr-FR" sz="900" b="1" kern="1200">
              <a:latin typeface="Calibri"/>
              <a:ea typeface="+mn-ea"/>
              <a:cs typeface="+mn-cs"/>
            </a:rPr>
            <a:t>SOURCES</a:t>
          </a:r>
        </a:p>
      </dsp:txBody>
      <dsp:txXfrm>
        <a:off x="536910" y="16106"/>
        <a:ext cx="910661" cy="236431"/>
      </dsp:txXfrm>
    </dsp:sp>
    <dsp:sp modelId="{ECB7FF38-5158-4885-B518-511D0F829CDA}">
      <dsp:nvSpPr>
        <dsp:cNvPr id="0" name=""/>
        <dsp:cNvSpPr/>
      </dsp:nvSpPr>
      <dsp:spPr>
        <a:xfrm rot="5400000">
          <a:off x="3126626" y="-1364816"/>
          <a:ext cx="276924" cy="3578352"/>
        </a:xfrm>
        <a:prstGeom prst="round2SameRect">
          <a:avLst/>
        </a:prstGeom>
        <a:solidFill>
          <a:schemeClr val="accent5">
            <a:tint val="40000"/>
            <a:alpha val="90000"/>
            <a:hueOff val="-671978"/>
            <a:satOff val="-1165"/>
            <a:lumOff val="-117"/>
            <a:alphaOff val="0"/>
          </a:schemeClr>
        </a:solidFill>
        <a:ln w="6350" cap="flat" cmpd="sng" algn="ctr">
          <a:solidFill>
            <a:schemeClr val="accent5">
              <a:tint val="40000"/>
              <a:alpha val="90000"/>
              <a:hueOff val="-671978"/>
              <a:satOff val="-1165"/>
              <a:lumOff val="-11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Cadre légal et régime fiscal</a:t>
          </a:r>
        </a:p>
      </dsp:txBody>
      <dsp:txXfrm rot="-5400000">
        <a:off x="1475912" y="299416"/>
        <a:ext cx="3564834" cy="249888"/>
      </dsp:txXfrm>
    </dsp:sp>
    <dsp:sp modelId="{C5A072F3-2259-4AC6-B1AB-4EC81DE1E5EC}">
      <dsp:nvSpPr>
        <dsp:cNvPr id="0" name=""/>
        <dsp:cNvSpPr/>
      </dsp:nvSpPr>
      <dsp:spPr>
        <a:xfrm>
          <a:off x="536910" y="293062"/>
          <a:ext cx="939002" cy="262593"/>
        </a:xfrm>
        <a:prstGeom prst="homePlate">
          <a:avLst/>
        </a:prstGeom>
        <a:gradFill rotWithShape="0">
          <a:gsLst>
            <a:gs pos="0">
              <a:schemeClr val="accent5">
                <a:hueOff val="-668486"/>
                <a:satOff val="-930"/>
                <a:lumOff val="-357"/>
                <a:alphaOff val="0"/>
                <a:lumMod val="110000"/>
                <a:satMod val="105000"/>
                <a:tint val="67000"/>
              </a:schemeClr>
            </a:gs>
            <a:gs pos="50000">
              <a:schemeClr val="accent5">
                <a:hueOff val="-668486"/>
                <a:satOff val="-930"/>
                <a:lumOff val="-357"/>
                <a:alphaOff val="0"/>
                <a:lumMod val="105000"/>
                <a:satMod val="103000"/>
                <a:tint val="73000"/>
              </a:schemeClr>
            </a:gs>
            <a:gs pos="100000">
              <a:schemeClr val="accent5">
                <a:hueOff val="-668486"/>
                <a:satOff val="-930"/>
                <a:lumOff val="-3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TEXTES LEGAUX &amp; REGLEMENTAIRES</a:t>
          </a:r>
        </a:p>
      </dsp:txBody>
      <dsp:txXfrm>
        <a:off x="536910" y="293062"/>
        <a:ext cx="873354" cy="262593"/>
      </dsp:txXfrm>
    </dsp:sp>
    <dsp:sp modelId="{166BB038-8BE3-4B2F-8FE3-C66501D334FC}">
      <dsp:nvSpPr>
        <dsp:cNvPr id="0" name=""/>
        <dsp:cNvSpPr/>
      </dsp:nvSpPr>
      <dsp:spPr>
        <a:xfrm rot="5400000">
          <a:off x="3126626" y="-1070584"/>
          <a:ext cx="276924" cy="3578352"/>
        </a:xfrm>
        <a:prstGeom prst="round2SameRect">
          <a:avLst/>
        </a:prstGeom>
        <a:solidFill>
          <a:schemeClr val="accent5">
            <a:tint val="40000"/>
            <a:alpha val="90000"/>
            <a:hueOff val="-1343955"/>
            <a:satOff val="-2330"/>
            <a:lumOff val="-234"/>
            <a:alphaOff val="0"/>
          </a:schemeClr>
        </a:solidFill>
        <a:ln w="6350" cap="flat" cmpd="sng" algn="ctr">
          <a:solidFill>
            <a:schemeClr val="accent5">
              <a:tint val="40000"/>
              <a:alpha val="90000"/>
              <a:hueOff val="-1343955"/>
              <a:satOff val="-2330"/>
              <a:lumOff val="-23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Procédures d'attribution  des droits</a:t>
          </a:r>
        </a:p>
      </dsp:txBody>
      <dsp:txXfrm rot="-5400000">
        <a:off x="1475912" y="593648"/>
        <a:ext cx="3564834" cy="249888"/>
      </dsp:txXfrm>
    </dsp:sp>
    <dsp:sp modelId="{B3DDA239-C377-4CDD-8A26-2823DB3A2D64}">
      <dsp:nvSpPr>
        <dsp:cNvPr id="0" name=""/>
        <dsp:cNvSpPr/>
      </dsp:nvSpPr>
      <dsp:spPr>
        <a:xfrm>
          <a:off x="536910" y="587294"/>
          <a:ext cx="939002" cy="262593"/>
        </a:xfrm>
        <a:prstGeom prst="homePlate">
          <a:avLst/>
        </a:prstGeom>
        <a:gradFill rotWithShape="0">
          <a:gsLst>
            <a:gs pos="0">
              <a:schemeClr val="accent5">
                <a:hueOff val="-1336972"/>
                <a:satOff val="-1860"/>
                <a:lumOff val="-713"/>
                <a:alphaOff val="0"/>
                <a:lumMod val="110000"/>
                <a:satMod val="105000"/>
                <a:tint val="67000"/>
              </a:schemeClr>
            </a:gs>
            <a:gs pos="50000">
              <a:schemeClr val="accent5">
                <a:hueOff val="-1336972"/>
                <a:satOff val="-1860"/>
                <a:lumOff val="-713"/>
                <a:alphaOff val="0"/>
                <a:lumMod val="105000"/>
                <a:satMod val="103000"/>
                <a:tint val="73000"/>
              </a:schemeClr>
            </a:gs>
            <a:gs pos="100000">
              <a:schemeClr val="accent5">
                <a:hueOff val="-1336972"/>
                <a:satOff val="-1860"/>
                <a:lumOff val="-7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CAMI, SGH</a:t>
          </a:r>
        </a:p>
      </dsp:txBody>
      <dsp:txXfrm>
        <a:off x="536910" y="587294"/>
        <a:ext cx="873354" cy="262593"/>
      </dsp:txXfrm>
    </dsp:sp>
    <dsp:sp modelId="{EE37B38A-A232-4B66-B9BB-9944B4245AA9}">
      <dsp:nvSpPr>
        <dsp:cNvPr id="0" name=""/>
        <dsp:cNvSpPr/>
      </dsp:nvSpPr>
      <dsp:spPr>
        <a:xfrm rot="5400000">
          <a:off x="3126626" y="-776352"/>
          <a:ext cx="276924" cy="3578352"/>
        </a:xfrm>
        <a:prstGeom prst="round2SameRect">
          <a:avLst/>
        </a:prstGeom>
        <a:solidFill>
          <a:schemeClr val="accent5">
            <a:tint val="40000"/>
            <a:alpha val="90000"/>
            <a:hueOff val="-2015933"/>
            <a:satOff val="-3495"/>
            <a:lumOff val="-352"/>
            <a:alphaOff val="0"/>
          </a:schemeClr>
        </a:solidFill>
        <a:ln w="6350" cap="flat" cmpd="sng" algn="ctr">
          <a:solidFill>
            <a:schemeClr val="accent5">
              <a:tint val="40000"/>
              <a:alpha val="90000"/>
              <a:hueOff val="-2015933"/>
              <a:satOff val="-3495"/>
              <a:lumOff val="-35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Registres de droits</a:t>
          </a:r>
        </a:p>
      </dsp:txBody>
      <dsp:txXfrm rot="-5400000">
        <a:off x="1475912" y="887880"/>
        <a:ext cx="3564834" cy="249888"/>
      </dsp:txXfrm>
    </dsp:sp>
    <dsp:sp modelId="{4076F337-B5D2-411F-9A6A-BC84B9A933F0}">
      <dsp:nvSpPr>
        <dsp:cNvPr id="0" name=""/>
        <dsp:cNvSpPr/>
      </dsp:nvSpPr>
      <dsp:spPr>
        <a:xfrm>
          <a:off x="536910" y="881527"/>
          <a:ext cx="939002" cy="262593"/>
        </a:xfrm>
        <a:prstGeom prst="homePlate">
          <a:avLst/>
        </a:prstGeom>
        <a:gradFill rotWithShape="0">
          <a:gsLst>
            <a:gs pos="0">
              <a:schemeClr val="accent5">
                <a:hueOff val="-2005458"/>
                <a:satOff val="-2789"/>
                <a:lumOff val="-1070"/>
                <a:alphaOff val="0"/>
                <a:lumMod val="110000"/>
                <a:satMod val="105000"/>
                <a:tint val="67000"/>
              </a:schemeClr>
            </a:gs>
            <a:gs pos="50000">
              <a:schemeClr val="accent5">
                <a:hueOff val="-2005458"/>
                <a:satOff val="-2789"/>
                <a:lumOff val="-1070"/>
                <a:alphaOff val="0"/>
                <a:lumMod val="105000"/>
                <a:satMod val="103000"/>
                <a:tint val="73000"/>
              </a:schemeClr>
            </a:gs>
            <a:gs pos="100000">
              <a:schemeClr val="accent5">
                <a:hueOff val="-2005458"/>
                <a:satOff val="-2789"/>
                <a:lumOff val="-107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CAMI, SGH</a:t>
          </a:r>
        </a:p>
      </dsp:txBody>
      <dsp:txXfrm>
        <a:off x="536910" y="881527"/>
        <a:ext cx="873354" cy="262593"/>
      </dsp:txXfrm>
    </dsp:sp>
    <dsp:sp modelId="{C603EED1-5EA4-43DB-AFE2-66008095961D}">
      <dsp:nvSpPr>
        <dsp:cNvPr id="0" name=""/>
        <dsp:cNvSpPr/>
      </dsp:nvSpPr>
      <dsp:spPr>
        <a:xfrm rot="5400000">
          <a:off x="3145667" y="-482119"/>
          <a:ext cx="276924" cy="3578352"/>
        </a:xfrm>
        <a:prstGeom prst="round2SameRect">
          <a:avLst/>
        </a:prstGeom>
        <a:solidFill>
          <a:schemeClr val="accent5">
            <a:tint val="40000"/>
            <a:alpha val="90000"/>
            <a:hueOff val="-2687911"/>
            <a:satOff val="-4660"/>
            <a:lumOff val="-469"/>
            <a:alphaOff val="0"/>
          </a:schemeClr>
        </a:solidFill>
        <a:ln w="6350" cap="flat" cmpd="sng" algn="ctr">
          <a:solidFill>
            <a:schemeClr val="accent5">
              <a:tint val="40000"/>
              <a:alpha val="90000"/>
              <a:hueOff val="-2687911"/>
              <a:satOff val="-4660"/>
              <a:lumOff val="-4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Politique de publication des contrats </a:t>
          </a:r>
        </a:p>
      </dsp:txBody>
      <dsp:txXfrm rot="-5400000">
        <a:off x="1494953" y="1182113"/>
        <a:ext cx="3564834" cy="249888"/>
      </dsp:txXfrm>
    </dsp:sp>
    <dsp:sp modelId="{2F71AE09-5FEC-4634-9A3D-3586FE659A59}">
      <dsp:nvSpPr>
        <dsp:cNvPr id="0" name=""/>
        <dsp:cNvSpPr/>
      </dsp:nvSpPr>
      <dsp:spPr>
        <a:xfrm>
          <a:off x="536910" y="1175759"/>
          <a:ext cx="939002" cy="262593"/>
        </a:xfrm>
        <a:prstGeom prst="homePlate">
          <a:avLst/>
        </a:prstGeom>
        <a:gradFill rotWithShape="0">
          <a:gsLst>
            <a:gs pos="0">
              <a:schemeClr val="accent5">
                <a:hueOff val="-2673943"/>
                <a:satOff val="-3719"/>
                <a:lumOff val="-1426"/>
                <a:alphaOff val="0"/>
                <a:lumMod val="110000"/>
                <a:satMod val="105000"/>
                <a:tint val="67000"/>
              </a:schemeClr>
            </a:gs>
            <a:gs pos="50000">
              <a:schemeClr val="accent5">
                <a:hueOff val="-2673943"/>
                <a:satOff val="-3719"/>
                <a:lumOff val="-1426"/>
                <a:alphaOff val="0"/>
                <a:lumMod val="105000"/>
                <a:satMod val="103000"/>
                <a:tint val="73000"/>
              </a:schemeClr>
            </a:gs>
            <a:gs pos="100000">
              <a:schemeClr val="accent5">
                <a:hueOff val="-2673943"/>
                <a:satOff val="-3719"/>
                <a:lumOff val="-14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Min. PF, Mines, Hydro</a:t>
          </a:r>
        </a:p>
      </dsp:txBody>
      <dsp:txXfrm>
        <a:off x="536910" y="1175759"/>
        <a:ext cx="873354" cy="262593"/>
      </dsp:txXfrm>
    </dsp:sp>
    <dsp:sp modelId="{DAC18469-7E86-462E-A995-1F8C782528B0}">
      <dsp:nvSpPr>
        <dsp:cNvPr id="0" name=""/>
        <dsp:cNvSpPr/>
      </dsp:nvSpPr>
      <dsp:spPr>
        <a:xfrm rot="5400000">
          <a:off x="3126626" y="-187887"/>
          <a:ext cx="276924" cy="3578352"/>
        </a:xfrm>
        <a:prstGeom prst="round2SameRect">
          <a:avLst/>
        </a:prstGeom>
        <a:solidFill>
          <a:schemeClr val="accent5">
            <a:tint val="40000"/>
            <a:alpha val="90000"/>
            <a:hueOff val="-3359889"/>
            <a:satOff val="-5825"/>
            <a:lumOff val="-586"/>
            <a:alphaOff val="0"/>
          </a:schemeClr>
        </a:solidFill>
        <a:ln w="6350" cap="flat" cmpd="sng" algn="ctr">
          <a:solidFill>
            <a:schemeClr val="accent5">
              <a:tint val="40000"/>
              <a:alpha val="90000"/>
              <a:hueOff val="-3359889"/>
              <a:satOff val="-5825"/>
              <a:lumOff val="-58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Propriété réelle</a:t>
          </a:r>
        </a:p>
      </dsp:txBody>
      <dsp:txXfrm rot="-5400000">
        <a:off x="1475912" y="1476345"/>
        <a:ext cx="3564834" cy="249888"/>
      </dsp:txXfrm>
    </dsp:sp>
    <dsp:sp modelId="{E3EA244C-3853-4E41-BC25-0BC2499716DD}">
      <dsp:nvSpPr>
        <dsp:cNvPr id="0" name=""/>
        <dsp:cNvSpPr/>
      </dsp:nvSpPr>
      <dsp:spPr>
        <a:xfrm>
          <a:off x="536910" y="1469991"/>
          <a:ext cx="939002" cy="262593"/>
        </a:xfrm>
        <a:prstGeom prst="homePlate">
          <a:avLst/>
        </a:prstGeom>
        <a:gradFill rotWithShape="0">
          <a:gsLst>
            <a:gs pos="0">
              <a:schemeClr val="accent5">
                <a:hueOff val="-3342429"/>
                <a:satOff val="-4649"/>
                <a:lumOff val="-1783"/>
                <a:alphaOff val="0"/>
                <a:lumMod val="110000"/>
                <a:satMod val="105000"/>
                <a:tint val="67000"/>
              </a:schemeClr>
            </a:gs>
            <a:gs pos="50000">
              <a:schemeClr val="accent5">
                <a:hueOff val="-3342429"/>
                <a:satOff val="-4649"/>
                <a:lumOff val="-1783"/>
                <a:alphaOff val="0"/>
                <a:lumMod val="105000"/>
                <a:satMod val="103000"/>
                <a:tint val="73000"/>
              </a:schemeClr>
            </a:gs>
            <a:gs pos="100000">
              <a:schemeClr val="accent5">
                <a:hueOff val="-3342429"/>
                <a:satOff val="-4649"/>
                <a:lumOff val="-17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ENTREPRISES</a:t>
          </a:r>
        </a:p>
      </dsp:txBody>
      <dsp:txXfrm>
        <a:off x="536910" y="1469991"/>
        <a:ext cx="873354" cy="262593"/>
      </dsp:txXfrm>
    </dsp:sp>
    <dsp:sp modelId="{5668FB45-81EF-4AF9-992F-1EDC15A034AE}">
      <dsp:nvSpPr>
        <dsp:cNvPr id="0" name=""/>
        <dsp:cNvSpPr/>
      </dsp:nvSpPr>
      <dsp:spPr>
        <a:xfrm rot="5400000">
          <a:off x="3126626" y="106344"/>
          <a:ext cx="276924" cy="3578352"/>
        </a:xfrm>
        <a:prstGeom prst="round2SameRect">
          <a:avLst/>
        </a:prstGeom>
        <a:solidFill>
          <a:schemeClr val="accent5">
            <a:tint val="40000"/>
            <a:alpha val="90000"/>
            <a:hueOff val="-4031867"/>
            <a:satOff val="-6991"/>
            <a:lumOff val="-703"/>
            <a:alphaOff val="0"/>
          </a:schemeClr>
        </a:solidFill>
        <a:ln w="6350" cap="flat" cmpd="sng" algn="ctr">
          <a:solidFill>
            <a:schemeClr val="accent5">
              <a:tint val="40000"/>
              <a:alpha val="90000"/>
              <a:hueOff val="-4031867"/>
              <a:satOff val="-6991"/>
              <a:lumOff val="-70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Participation de l'Etat dans les industries extractives</a:t>
          </a:r>
        </a:p>
      </dsp:txBody>
      <dsp:txXfrm rot="-5400000">
        <a:off x="1475912" y="1770576"/>
        <a:ext cx="3564834" cy="249888"/>
      </dsp:txXfrm>
    </dsp:sp>
    <dsp:sp modelId="{2EFD78ED-8B48-44A3-82AE-8CD5F2725C55}">
      <dsp:nvSpPr>
        <dsp:cNvPr id="0" name=""/>
        <dsp:cNvSpPr/>
      </dsp:nvSpPr>
      <dsp:spPr>
        <a:xfrm>
          <a:off x="536910" y="1764223"/>
          <a:ext cx="939002" cy="262593"/>
        </a:xfrm>
        <a:prstGeom prst="homePlate">
          <a:avLst/>
        </a:prstGeom>
        <a:gradFill rotWithShape="0">
          <a:gsLst>
            <a:gs pos="0">
              <a:schemeClr val="accent5">
                <a:hueOff val="-4010915"/>
                <a:satOff val="-5579"/>
                <a:lumOff val="-2139"/>
                <a:alphaOff val="0"/>
                <a:lumMod val="110000"/>
                <a:satMod val="105000"/>
                <a:tint val="67000"/>
              </a:schemeClr>
            </a:gs>
            <a:gs pos="50000">
              <a:schemeClr val="accent5">
                <a:hueOff val="-4010915"/>
                <a:satOff val="-5579"/>
                <a:lumOff val="-2139"/>
                <a:alphaOff val="0"/>
                <a:lumMod val="105000"/>
                <a:satMod val="103000"/>
                <a:tint val="73000"/>
              </a:schemeClr>
            </a:gs>
            <a:gs pos="100000">
              <a:schemeClr val="accent5">
                <a:hueOff val="-4010915"/>
                <a:satOff val="-5579"/>
                <a:lumOff val="-213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Min. du PF, EPE</a:t>
          </a:r>
        </a:p>
      </dsp:txBody>
      <dsp:txXfrm>
        <a:off x="536910" y="1764223"/>
        <a:ext cx="873354" cy="262593"/>
      </dsp:txXfrm>
    </dsp:sp>
    <dsp:sp modelId="{FD6F9629-897A-48F4-8FD2-83C4978D2646}">
      <dsp:nvSpPr>
        <dsp:cNvPr id="0" name=""/>
        <dsp:cNvSpPr/>
      </dsp:nvSpPr>
      <dsp:spPr>
        <a:xfrm rot="5400000">
          <a:off x="3126626" y="400577"/>
          <a:ext cx="276924" cy="3578352"/>
        </a:xfrm>
        <a:prstGeom prst="round2SameRect">
          <a:avLst/>
        </a:prstGeom>
        <a:solidFill>
          <a:schemeClr val="accent5">
            <a:tint val="40000"/>
            <a:alpha val="90000"/>
            <a:hueOff val="-4703844"/>
            <a:satOff val="-8156"/>
            <a:lumOff val="-820"/>
            <a:alphaOff val="0"/>
          </a:schemeClr>
        </a:solidFill>
        <a:ln w="6350" cap="flat" cmpd="sng" algn="ctr">
          <a:solidFill>
            <a:schemeClr val="accent5">
              <a:tint val="40000"/>
              <a:alpha val="90000"/>
              <a:hueOff val="-4703844"/>
              <a:satOff val="-8156"/>
              <a:lumOff val="-82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Prospection, production et exportations</a:t>
          </a:r>
        </a:p>
      </dsp:txBody>
      <dsp:txXfrm rot="-5400000">
        <a:off x="1475912" y="2064809"/>
        <a:ext cx="3564834" cy="249888"/>
      </dsp:txXfrm>
    </dsp:sp>
    <dsp:sp modelId="{348B7866-D543-4494-A5A9-BB36B7F4CF80}">
      <dsp:nvSpPr>
        <dsp:cNvPr id="0" name=""/>
        <dsp:cNvSpPr/>
      </dsp:nvSpPr>
      <dsp:spPr>
        <a:xfrm>
          <a:off x="536910" y="2058456"/>
          <a:ext cx="939002" cy="262593"/>
        </a:xfrm>
        <a:prstGeom prst="homePlate">
          <a:avLst/>
        </a:prstGeom>
        <a:gradFill rotWithShape="0">
          <a:gsLst>
            <a:gs pos="0">
              <a:schemeClr val="accent5">
                <a:hueOff val="-4679401"/>
                <a:satOff val="-6509"/>
                <a:lumOff val="-2496"/>
                <a:alphaOff val="0"/>
                <a:lumMod val="110000"/>
                <a:satMod val="105000"/>
                <a:tint val="67000"/>
              </a:schemeClr>
            </a:gs>
            <a:gs pos="50000">
              <a:schemeClr val="accent5">
                <a:hueOff val="-4679401"/>
                <a:satOff val="-6509"/>
                <a:lumOff val="-2496"/>
                <a:alphaOff val="0"/>
                <a:lumMod val="105000"/>
                <a:satMod val="103000"/>
                <a:tint val="73000"/>
              </a:schemeClr>
            </a:gs>
            <a:gs pos="100000">
              <a:schemeClr val="accent5">
                <a:hueOff val="-4679401"/>
                <a:satOff val="-6509"/>
                <a:lumOff val="-249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3335" rIns="26670" bIns="13335" numCol="1" spcCol="1270" anchor="ctr" anchorCtr="0">
          <a:noAutofit/>
        </a:bodyPr>
        <a:lstStyle/>
        <a:p>
          <a:pPr lvl="0" algn="ctr" defTabSz="311150">
            <a:lnSpc>
              <a:spcPct val="90000"/>
            </a:lnSpc>
            <a:spcBef>
              <a:spcPct val="0"/>
            </a:spcBef>
            <a:spcAft>
              <a:spcPct val="35000"/>
            </a:spcAft>
          </a:pPr>
          <a:r>
            <a:rPr lang="fr-FR" sz="700" b="1" kern="1200">
              <a:latin typeface="Calibri"/>
              <a:ea typeface="+mn-ea"/>
              <a:cs typeface="+mn-cs"/>
            </a:rPr>
            <a:t>ENTREPRISES, CTCPM,CAMI, BCC, SGH</a:t>
          </a:r>
        </a:p>
      </dsp:txBody>
      <dsp:txXfrm>
        <a:off x="536910" y="2058456"/>
        <a:ext cx="873354" cy="262593"/>
      </dsp:txXfrm>
    </dsp:sp>
    <dsp:sp modelId="{D345C441-DFDC-4761-A367-3E4BCDCA872D}">
      <dsp:nvSpPr>
        <dsp:cNvPr id="0" name=""/>
        <dsp:cNvSpPr/>
      </dsp:nvSpPr>
      <dsp:spPr>
        <a:xfrm rot="5400000">
          <a:off x="3126626" y="694809"/>
          <a:ext cx="276924" cy="3578352"/>
        </a:xfrm>
        <a:prstGeom prst="round2SameRect">
          <a:avLst/>
        </a:prstGeom>
        <a:solidFill>
          <a:schemeClr val="accent5">
            <a:tint val="40000"/>
            <a:alpha val="90000"/>
            <a:hueOff val="-5375822"/>
            <a:satOff val="-9321"/>
            <a:lumOff val="-937"/>
            <a:alphaOff val="0"/>
          </a:schemeClr>
        </a:solidFill>
        <a:ln w="6350" cap="flat" cmpd="sng" algn="ctr">
          <a:solidFill>
            <a:schemeClr val="accent5">
              <a:tint val="40000"/>
              <a:alpha val="90000"/>
              <a:hueOff val="-5375822"/>
              <a:satOff val="-9321"/>
              <a:lumOff val="-93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Transferts infranationaux</a:t>
          </a:r>
        </a:p>
      </dsp:txBody>
      <dsp:txXfrm rot="-5400000">
        <a:off x="1475912" y="2359041"/>
        <a:ext cx="3564834" cy="249888"/>
      </dsp:txXfrm>
    </dsp:sp>
    <dsp:sp modelId="{ECF84230-D726-4FDA-87E0-B0CFDD9D2804}">
      <dsp:nvSpPr>
        <dsp:cNvPr id="0" name=""/>
        <dsp:cNvSpPr/>
      </dsp:nvSpPr>
      <dsp:spPr>
        <a:xfrm>
          <a:off x="536910" y="2352688"/>
          <a:ext cx="939002" cy="262593"/>
        </a:xfrm>
        <a:prstGeom prst="homePlate">
          <a:avLst/>
        </a:prstGeom>
        <a:gradFill rotWithShape="0">
          <a:gsLst>
            <a:gs pos="0">
              <a:schemeClr val="accent5">
                <a:hueOff val="-5347887"/>
                <a:satOff val="-7439"/>
                <a:lumOff val="-2852"/>
                <a:alphaOff val="0"/>
                <a:lumMod val="110000"/>
                <a:satMod val="105000"/>
                <a:tint val="67000"/>
              </a:schemeClr>
            </a:gs>
            <a:gs pos="50000">
              <a:schemeClr val="accent5">
                <a:hueOff val="-5347887"/>
                <a:satOff val="-7439"/>
                <a:lumOff val="-2852"/>
                <a:alphaOff val="0"/>
                <a:lumMod val="105000"/>
                <a:satMod val="103000"/>
                <a:tint val="73000"/>
              </a:schemeClr>
            </a:gs>
            <a:gs pos="100000">
              <a:schemeClr val="accent5">
                <a:hueOff val="-5347887"/>
                <a:satOff val="-7439"/>
                <a:lumOff val="-28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CTR, BCC</a:t>
          </a:r>
        </a:p>
      </dsp:txBody>
      <dsp:txXfrm>
        <a:off x="536910" y="2352688"/>
        <a:ext cx="873354" cy="262593"/>
      </dsp:txXfrm>
    </dsp:sp>
    <dsp:sp modelId="{F836AA0D-C047-4039-96C4-B69E990CBFE0}">
      <dsp:nvSpPr>
        <dsp:cNvPr id="0" name=""/>
        <dsp:cNvSpPr/>
      </dsp:nvSpPr>
      <dsp:spPr>
        <a:xfrm rot="5400000">
          <a:off x="3126626" y="989041"/>
          <a:ext cx="276924" cy="3578352"/>
        </a:xfrm>
        <a:prstGeom prst="round2SameRect">
          <a:avLst/>
        </a:prstGeom>
        <a:solidFill>
          <a:schemeClr val="accent5">
            <a:tint val="40000"/>
            <a:alpha val="90000"/>
            <a:hueOff val="-6047799"/>
            <a:satOff val="-10486"/>
            <a:lumOff val="-1055"/>
            <a:alphaOff val="0"/>
          </a:schemeClr>
        </a:solidFill>
        <a:ln w="6350" cap="flat" cmpd="sng" algn="ctr">
          <a:solidFill>
            <a:schemeClr val="accent5">
              <a:tint val="40000"/>
              <a:alpha val="90000"/>
              <a:hueOff val="-6047799"/>
              <a:satOff val="-10486"/>
              <a:lumOff val="-105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Dépenses  sociales</a:t>
          </a:r>
        </a:p>
      </dsp:txBody>
      <dsp:txXfrm rot="-5400000">
        <a:off x="1475912" y="2653273"/>
        <a:ext cx="3564834" cy="249888"/>
      </dsp:txXfrm>
    </dsp:sp>
    <dsp:sp modelId="{759AC901-B5C6-4C65-B2DE-56614DEC4387}">
      <dsp:nvSpPr>
        <dsp:cNvPr id="0" name=""/>
        <dsp:cNvSpPr/>
      </dsp:nvSpPr>
      <dsp:spPr>
        <a:xfrm>
          <a:off x="536910" y="2646920"/>
          <a:ext cx="939002" cy="262593"/>
        </a:xfrm>
        <a:prstGeom prst="homePlate">
          <a:avLst/>
        </a:prstGeom>
        <a:gradFill rotWithShape="0">
          <a:gsLst>
            <a:gs pos="0">
              <a:schemeClr val="accent5">
                <a:hueOff val="-6016373"/>
                <a:satOff val="-8368"/>
                <a:lumOff val="-3209"/>
                <a:alphaOff val="0"/>
                <a:lumMod val="110000"/>
                <a:satMod val="105000"/>
                <a:tint val="67000"/>
              </a:schemeClr>
            </a:gs>
            <a:gs pos="50000">
              <a:schemeClr val="accent5">
                <a:hueOff val="-6016373"/>
                <a:satOff val="-8368"/>
                <a:lumOff val="-3209"/>
                <a:alphaOff val="0"/>
                <a:lumMod val="105000"/>
                <a:satMod val="103000"/>
                <a:tint val="73000"/>
              </a:schemeClr>
            </a:gs>
            <a:gs pos="100000">
              <a:schemeClr val="accent5">
                <a:hueOff val="-6016373"/>
                <a:satOff val="-8368"/>
                <a:lumOff val="-32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ENTREPRISES</a:t>
          </a:r>
        </a:p>
      </dsp:txBody>
      <dsp:txXfrm>
        <a:off x="536910" y="2646920"/>
        <a:ext cx="873354" cy="262593"/>
      </dsp:txXfrm>
    </dsp:sp>
    <dsp:sp modelId="{CF454B15-5CC5-4910-A3C4-9B5F573E73EA}">
      <dsp:nvSpPr>
        <dsp:cNvPr id="0" name=""/>
        <dsp:cNvSpPr/>
      </dsp:nvSpPr>
      <dsp:spPr>
        <a:xfrm rot="5400000">
          <a:off x="3126626" y="1283273"/>
          <a:ext cx="276924" cy="3578352"/>
        </a:xfrm>
        <a:prstGeom prst="round2SameRect">
          <a:avLst/>
        </a:prstGeom>
        <a:solidFill>
          <a:schemeClr val="accent5">
            <a:tint val="40000"/>
            <a:alpha val="90000"/>
            <a:hueOff val="-6719778"/>
            <a:satOff val="-11651"/>
            <a:lumOff val="-1172"/>
            <a:alphaOff val="0"/>
          </a:schemeClr>
        </a:solidFill>
        <a:ln w="6350" cap="flat" cmpd="sng" algn="ctr">
          <a:solidFill>
            <a:schemeClr val="accent5">
              <a:tint val="40000"/>
              <a:alpha val="90000"/>
              <a:hueOff val="-6719778"/>
              <a:satOff val="-11651"/>
              <a:lumOff val="-117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Dépenses  quasi fiscales</a:t>
          </a:r>
        </a:p>
      </dsp:txBody>
      <dsp:txXfrm rot="-5400000">
        <a:off x="1475912" y="2947505"/>
        <a:ext cx="3564834" cy="249888"/>
      </dsp:txXfrm>
    </dsp:sp>
    <dsp:sp modelId="{527A6DB8-CC8D-4117-B64B-FE1C51498EDF}">
      <dsp:nvSpPr>
        <dsp:cNvPr id="0" name=""/>
        <dsp:cNvSpPr/>
      </dsp:nvSpPr>
      <dsp:spPr>
        <a:xfrm>
          <a:off x="536910" y="2941152"/>
          <a:ext cx="939002" cy="262593"/>
        </a:xfrm>
        <a:prstGeom prst="homePlate">
          <a:avLst/>
        </a:prstGeom>
        <a:gradFill rotWithShape="0">
          <a:gsLst>
            <a:gs pos="0">
              <a:schemeClr val="accent5">
                <a:hueOff val="-6684859"/>
                <a:satOff val="-9298"/>
                <a:lumOff val="-3565"/>
                <a:alphaOff val="0"/>
                <a:lumMod val="110000"/>
                <a:satMod val="105000"/>
                <a:tint val="67000"/>
              </a:schemeClr>
            </a:gs>
            <a:gs pos="50000">
              <a:schemeClr val="accent5">
                <a:hueOff val="-6684859"/>
                <a:satOff val="-9298"/>
                <a:lumOff val="-3565"/>
                <a:alphaOff val="0"/>
                <a:lumMod val="105000"/>
                <a:satMod val="103000"/>
                <a:tint val="73000"/>
              </a:schemeClr>
            </a:gs>
            <a:gs pos="100000">
              <a:schemeClr val="accent5">
                <a:hueOff val="-6684859"/>
                <a:satOff val="-9298"/>
                <a:lumOff val="-35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EPE</a:t>
          </a:r>
        </a:p>
      </dsp:txBody>
      <dsp:txXfrm>
        <a:off x="536910" y="2941152"/>
        <a:ext cx="873354" cy="262593"/>
      </dsp:txXfrm>
    </dsp:sp>
    <dsp:sp modelId="{522CCA70-A8BE-4659-8C00-496B771079DC}">
      <dsp:nvSpPr>
        <dsp:cNvPr id="0" name=""/>
        <dsp:cNvSpPr/>
      </dsp:nvSpPr>
      <dsp:spPr>
        <a:xfrm rot="5400000">
          <a:off x="3126626" y="1577506"/>
          <a:ext cx="276924" cy="3578352"/>
        </a:xfrm>
        <a:prstGeom prst="round2Same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000" tIns="123825" rIns="180000" bIns="123825" numCol="1" spcCol="1270" anchor="ctr" anchorCtr="0">
          <a:noAutofit/>
        </a:bodyPr>
        <a:lstStyle/>
        <a:p>
          <a:pPr marL="57150" lvl="1" indent="-57150" algn="l" defTabSz="400050">
            <a:lnSpc>
              <a:spcPct val="90000"/>
            </a:lnSpc>
            <a:spcBef>
              <a:spcPct val="0"/>
            </a:spcBef>
            <a:spcAft>
              <a:spcPct val="15000"/>
            </a:spcAft>
            <a:buChar char="••"/>
          </a:pPr>
          <a:r>
            <a:rPr lang="fr-FR" sz="900" b="0" kern="700" baseline="0">
              <a:ln/>
              <a:latin typeface="Calibri"/>
              <a:ea typeface="+mn-ea"/>
              <a:cs typeface="+mn-cs"/>
            </a:rPr>
            <a:t>Contribution à l'économie</a:t>
          </a:r>
        </a:p>
      </dsp:txBody>
      <dsp:txXfrm rot="-5400000">
        <a:off x="1475912" y="3241738"/>
        <a:ext cx="3564834" cy="249888"/>
      </dsp:txXfrm>
    </dsp:sp>
    <dsp:sp modelId="{491281F3-ADC6-4D0B-A518-AE608E34DFB6}">
      <dsp:nvSpPr>
        <dsp:cNvPr id="0" name=""/>
        <dsp:cNvSpPr/>
      </dsp:nvSpPr>
      <dsp:spPr>
        <a:xfrm>
          <a:off x="536910" y="3235385"/>
          <a:ext cx="939002" cy="262593"/>
        </a:xfrm>
        <a:prstGeom prst="homePlate">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fr-FR" sz="800" b="1" kern="1200">
              <a:latin typeface="Calibri"/>
              <a:ea typeface="+mn-ea"/>
              <a:cs typeface="+mn-cs"/>
            </a:rPr>
            <a:t>BCC, ONEM, ENTREPRISES</a:t>
          </a:r>
        </a:p>
      </dsp:txBody>
      <dsp:txXfrm>
        <a:off x="536910" y="3235385"/>
        <a:ext cx="873354" cy="26259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8656B8178C47DD87FB48F39B039399"/>
        <w:category>
          <w:name w:val="Général"/>
          <w:gallery w:val="placeholder"/>
        </w:category>
        <w:types>
          <w:type w:val="bbPlcHdr"/>
        </w:types>
        <w:behaviors>
          <w:behavior w:val="content"/>
        </w:behaviors>
        <w:guid w:val="{D296F487-EF44-4E8C-9A83-F7C7ADD32928}"/>
      </w:docPartPr>
      <w:docPartBody>
        <w:p w:rsidR="00A90B19" w:rsidRDefault="00CE3623" w:rsidP="00CE3623">
          <w:pPr>
            <w:pStyle w:val="4B8656B8178C47DD87FB48F39B039399"/>
          </w:pPr>
          <w:r>
            <w:t>[Tapez le titre du document]</w:t>
          </w:r>
        </w:p>
      </w:docPartBody>
    </w:docPart>
    <w:docPart>
      <w:docPartPr>
        <w:name w:val="BFBCE8B1111545928E1D5A39FF03BB7A"/>
        <w:category>
          <w:name w:val="Général"/>
          <w:gallery w:val="placeholder"/>
        </w:category>
        <w:types>
          <w:type w:val="bbPlcHdr"/>
        </w:types>
        <w:behaviors>
          <w:behavior w:val="content"/>
        </w:behaviors>
        <w:guid w:val="{9567F789-FB15-4FF5-9C56-FB636D6CCE38}"/>
      </w:docPartPr>
      <w:docPartBody>
        <w:p w:rsidR="00A90B19" w:rsidRDefault="00CE3623" w:rsidP="00CE3623">
          <w:pPr>
            <w:pStyle w:val="BFBCE8B1111545928E1D5A39FF03BB7A"/>
          </w:pPr>
          <w: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Garamond Pro Bold">
    <w:panose1 w:val="00000000000000000000"/>
    <w:charset w:val="00"/>
    <w:family w:val="roman"/>
    <w:notTrueType/>
    <w:pitch w:val="variable"/>
    <w:sig w:usb0="800000AF" w:usb1="5000205B" w:usb2="00000000" w:usb3="00000000" w:csb0="0000009B" w:csb1="00000000"/>
  </w:font>
  <w:font w:name="BLOHFC+Arial">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mn-ea">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23"/>
    <w:rsid w:val="001917BF"/>
    <w:rsid w:val="002966D4"/>
    <w:rsid w:val="002E6228"/>
    <w:rsid w:val="004A4424"/>
    <w:rsid w:val="0067549D"/>
    <w:rsid w:val="00A90B19"/>
    <w:rsid w:val="00A9118A"/>
    <w:rsid w:val="00AE2AE5"/>
    <w:rsid w:val="00CD11B4"/>
    <w:rsid w:val="00CE3623"/>
    <w:rsid w:val="00F915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10E8018A11480A9019D77740BBC8CE">
    <w:name w:val="5310E8018A11480A9019D77740BBC8CE"/>
    <w:rsid w:val="00CE3623"/>
  </w:style>
  <w:style w:type="paragraph" w:customStyle="1" w:styleId="B4B89A93B11F446E89F7349F8DD3E431">
    <w:name w:val="B4B89A93B11F446E89F7349F8DD3E431"/>
    <w:rsid w:val="00CE3623"/>
  </w:style>
  <w:style w:type="paragraph" w:customStyle="1" w:styleId="4B8656B8178C47DD87FB48F39B039399">
    <w:name w:val="4B8656B8178C47DD87FB48F39B039399"/>
    <w:rsid w:val="00CE3623"/>
  </w:style>
  <w:style w:type="paragraph" w:customStyle="1" w:styleId="BFBCE8B1111545928E1D5A39FF03BB7A">
    <w:name w:val="BFBCE8B1111545928E1D5A39FF03BB7A"/>
    <w:rsid w:val="00CE3623"/>
  </w:style>
  <w:style w:type="paragraph" w:customStyle="1" w:styleId="A60E29BE843644718CB362592DB7BC90">
    <w:name w:val="A60E29BE843644718CB362592DB7BC90"/>
    <w:rsid w:val="00CE3623"/>
  </w:style>
  <w:style w:type="paragraph" w:customStyle="1" w:styleId="189F561F5413478081A14C2A332F2514">
    <w:name w:val="189F561F5413478081A14C2A332F2514"/>
    <w:rsid w:val="00CE3623"/>
  </w:style>
  <w:style w:type="paragraph" w:customStyle="1" w:styleId="60F27D3409EB4A2E9DD172ABD0D22BA1">
    <w:name w:val="60F27D3409EB4A2E9DD172ABD0D22BA1"/>
    <w:rsid w:val="00CE3623"/>
  </w:style>
  <w:style w:type="paragraph" w:customStyle="1" w:styleId="914665C4DE2340E4BAB5A0347584A585">
    <w:name w:val="914665C4DE2340E4BAB5A0347584A585"/>
    <w:rsid w:val="00CE3623"/>
  </w:style>
  <w:style w:type="paragraph" w:customStyle="1" w:styleId="A7C2C98716EE4833B292377FE79682AF">
    <w:name w:val="A7C2C98716EE4833B292377FE79682AF"/>
    <w:rsid w:val="00CE3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Rapport Contextuel ITIE-RDC 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248ED2-0C6A-4475-A421-59FE5045B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29293</Words>
  <Characters>161112</Characters>
  <Application>Microsoft Office Word</Application>
  <DocSecurity>0</DocSecurity>
  <Lines>1342</Lines>
  <Paragraphs>380</Paragraphs>
  <ScaleCrop>false</ScaleCrop>
  <HeadingPairs>
    <vt:vector size="2" baseType="variant">
      <vt:variant>
        <vt:lpstr>Titre</vt:lpstr>
      </vt:variant>
      <vt:variant>
        <vt:i4>1</vt:i4>
      </vt:variant>
    </vt:vector>
  </HeadingPairs>
  <TitlesOfParts>
    <vt:vector size="1" baseType="lpstr">
      <vt:lpstr>Comité Exécutif</vt:lpstr>
    </vt:vector>
  </TitlesOfParts>
  <Company>HP</Company>
  <LinksUpToDate>false</LinksUpToDate>
  <CharactersWithSpaces>190025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Exécutif</dc:title>
  <dc:creator>Secrétariat Technique</dc:creator>
  <cp:lastModifiedBy>Gilbert DENINGAIDI</cp:lastModifiedBy>
  <cp:revision>3</cp:revision>
  <dcterms:created xsi:type="dcterms:W3CDTF">2018-08-02T08:47:00Z</dcterms:created>
  <dcterms:modified xsi:type="dcterms:W3CDTF">2018-10-02T09:46:00Z</dcterms:modified>
</cp:coreProperties>
</file>